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/>
        <w:textAlignment w:val="auto"/>
        <w:rPr>
          <w:rFonts w:hint="eastAsia" w:ascii="Times New Roman" w:hAnsi="Times New Roman" w:eastAsia="方正黑体_GBK" w:cs="方正黑体_GBK"/>
          <w:color w:val="000000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方正黑体_GBK" w:cs="方正黑体_GBK"/>
          <w:color w:val="000000"/>
          <w:kern w:val="2"/>
          <w:sz w:val="32"/>
          <w:szCs w:val="32"/>
          <w:highlight w:val="none"/>
          <w:lang w:eastAsia="zh-CN" w:bidi="ar"/>
        </w:rPr>
        <w:t>附件</w:t>
      </w:r>
      <w:r>
        <w:rPr>
          <w:rFonts w:hint="eastAsia" w:ascii="Times New Roman" w:hAnsi="Times New Roman" w:eastAsia="方正黑体_GBK" w:cs="方正黑体_GBK"/>
          <w:color w:val="000000"/>
          <w:sz w:val="32"/>
          <w:szCs w:val="32"/>
          <w:highlight w:val="none"/>
          <w:lang w:val="en-US" w:eastAsia="zh-CN"/>
        </w:rPr>
        <w:t>5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i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i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竞争性比选评</w:t>
      </w:r>
      <w:r>
        <w:rPr>
          <w:rFonts w:hint="eastAsia" w:ascii="Times New Roman" w:hAnsi="Times New Roman" w:eastAsia="方正小标宋_GBK" w:cs="Times New Roman"/>
          <w:i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审要点</w:t>
      </w:r>
    </w:p>
    <w:tbl>
      <w:tblPr>
        <w:tblStyle w:val="2"/>
        <w:tblW w:w="542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0"/>
        <w:gridCol w:w="1758"/>
        <w:gridCol w:w="7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  <w:tblHeader/>
          <w:jc w:val="center"/>
        </w:trPr>
        <w:tc>
          <w:tcPr>
            <w:tcW w:w="461" w:type="pct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00" w:type="pct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评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审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因素</w:t>
            </w:r>
          </w:p>
        </w:tc>
        <w:tc>
          <w:tcPr>
            <w:tcW w:w="3638" w:type="pct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评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审要点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61" w:type="pct"/>
            <w:vMerge w:val="restart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一、资格条件</w:t>
            </w:r>
          </w:p>
        </w:tc>
        <w:tc>
          <w:tcPr>
            <w:tcW w:w="900" w:type="pct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1.单位要求</w:t>
            </w:r>
          </w:p>
        </w:tc>
        <w:tc>
          <w:tcPr>
            <w:tcW w:w="3638" w:type="pct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 w:bidi="ar"/>
              </w:rPr>
              <w:t>在中华人民共和国境内注册、具有独立法人资格。（提供营业执照）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61" w:type="pct"/>
            <w:vMerge w:val="continue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0" w:type="pct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履约信誉</w:t>
            </w:r>
          </w:p>
        </w:tc>
        <w:tc>
          <w:tcPr>
            <w:tcW w:w="3638" w:type="pct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参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单位三年内无重大违法记录、具备良好的商业信誉。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拟派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课题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负责人及团队成员近三年内合同履行方面无不良记录，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经查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信用中国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网站、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“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信用重庆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”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网站，凡列入失信联合惩戒对象名单和重点关注对象名单的单位、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课题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负责人及团队成员不得参与本次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课题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。（提供承诺原件）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461" w:type="pct"/>
            <w:vMerge w:val="continue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0" w:type="pct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3.拟派课题负责人要求</w:t>
            </w:r>
          </w:p>
        </w:tc>
        <w:tc>
          <w:tcPr>
            <w:tcW w:w="3638" w:type="pct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拟派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课题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负责人具有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副高级及以上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职称或相当职务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（提供职称证书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等资料，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提供近三个月内缴纳社保的证明材料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  <w:jc w:val="center"/>
        </w:trPr>
        <w:tc>
          <w:tcPr>
            <w:tcW w:w="461" w:type="pct"/>
            <w:vMerge w:val="restart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 w:bidi="ar"/>
              </w:rPr>
              <w:t>二、服务部分</w:t>
            </w:r>
          </w:p>
        </w:tc>
        <w:tc>
          <w:tcPr>
            <w:tcW w:w="900" w:type="pct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1.研究背景</w:t>
            </w:r>
          </w:p>
        </w:tc>
        <w:tc>
          <w:tcPr>
            <w:tcW w:w="3638" w:type="pct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u w:val="none"/>
              </w:rPr>
              <w:t>对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u w:val="none"/>
              </w:rPr>
              <w:t>行业和区县碳排放历史数据测算和“十五五”时期碳排放目标分解下达方法研究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u w:val="none"/>
              </w:rPr>
              <w:t>相关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的国家政策、研究论证背景等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u w:val="none"/>
              </w:rPr>
              <w:t>内容认识准确、理解充分、分析到位等情况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8" w:hRule="atLeast"/>
          <w:jc w:val="center"/>
        </w:trPr>
        <w:tc>
          <w:tcPr>
            <w:tcW w:w="461" w:type="pct"/>
            <w:vMerge w:val="continue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900" w:type="pct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2.研究目标</w:t>
            </w:r>
          </w:p>
        </w:tc>
        <w:tc>
          <w:tcPr>
            <w:tcW w:w="3638" w:type="pct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拟定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目标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的符合性、科学性、合理性等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u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0" w:hRule="atLeast"/>
          <w:jc w:val="center"/>
        </w:trPr>
        <w:tc>
          <w:tcPr>
            <w:tcW w:w="461" w:type="pct"/>
            <w:vMerge w:val="continue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900" w:type="pct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 w:bidi="ar"/>
              </w:rPr>
              <w:t>3.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研究思路及技术路线</w:t>
            </w:r>
          </w:p>
        </w:tc>
        <w:tc>
          <w:tcPr>
            <w:tcW w:w="3638" w:type="pct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u w:val="none"/>
              </w:rPr>
              <w:t>对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u w:val="none"/>
              </w:rPr>
              <w:t>行业和区县碳排放历史数据测算和“十五五”时期碳排放目标分解下达方法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研究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u w:val="none"/>
              </w:rPr>
              <w:t>具有较强的针对性，提出的工作思路、工作重点、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技术路线、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u w:val="none"/>
              </w:rPr>
              <w:t>措施举措等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情况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u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0" w:hRule="atLeast"/>
          <w:jc w:val="center"/>
        </w:trPr>
        <w:tc>
          <w:tcPr>
            <w:tcW w:w="461" w:type="pct"/>
            <w:vMerge w:val="continue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900" w:type="pct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4.预期成果</w:t>
            </w:r>
          </w:p>
        </w:tc>
        <w:tc>
          <w:tcPr>
            <w:tcW w:w="3638" w:type="pct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拟形成的成果符合性、科学合理性、可操作性等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u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7" w:hRule="atLeast"/>
          <w:jc w:val="center"/>
        </w:trPr>
        <w:tc>
          <w:tcPr>
            <w:tcW w:w="461" w:type="pct"/>
            <w:vMerge w:val="continue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900" w:type="pct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5.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进度计划及组织措施</w:t>
            </w:r>
          </w:p>
        </w:tc>
        <w:tc>
          <w:tcPr>
            <w:tcW w:w="3638" w:type="pct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u w:val="none"/>
              </w:rPr>
              <w:t>在要求的时间阶段内对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课题研究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u w:val="none"/>
              </w:rPr>
              <w:t>各阶段时间周期及各阶段完成的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研究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u w:val="none"/>
              </w:rPr>
              <w:t>内容有详尽的描述，且人员等设置配置情况。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" w:hRule="atLeast"/>
          <w:jc w:val="center"/>
        </w:trPr>
        <w:tc>
          <w:tcPr>
            <w:tcW w:w="461" w:type="pct"/>
            <w:vMerge w:val="continue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 w:bidi="ar"/>
              </w:rPr>
            </w:pPr>
          </w:p>
        </w:tc>
        <w:tc>
          <w:tcPr>
            <w:tcW w:w="900" w:type="pct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eastAsia="zh-CN" w:bidi="ar"/>
              </w:rPr>
              <w:t>6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bidi="ar"/>
              </w:rPr>
              <w:t>.申报资料质量</w:t>
            </w:r>
          </w:p>
        </w:tc>
        <w:tc>
          <w:tcPr>
            <w:tcW w:w="3638" w:type="pct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u w:val="none"/>
              </w:rPr>
              <w:t>申报资料的完整、齐备性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u w:val="none"/>
                <w:lang w:eastAsia="zh-CN"/>
              </w:rPr>
              <w:t>、符合性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u w:val="none"/>
              </w:rPr>
              <w:t>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461" w:type="pct"/>
            <w:vMerge w:val="restart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三、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商务部分</w:t>
            </w:r>
          </w:p>
        </w:tc>
        <w:tc>
          <w:tcPr>
            <w:tcW w:w="900" w:type="pct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1.业绩要求</w:t>
            </w:r>
          </w:p>
        </w:tc>
        <w:tc>
          <w:tcPr>
            <w:tcW w:w="3638" w:type="pct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  <w:t>2020年以来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  <w:t>含2020年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  <w:t>，参选单位承担过区域碳绿色低碳发展、产业绿色低碳转型、绿色能源与产业协同等能源领域的课题、规划、实施方案或项目咨询研究业绩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。（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  <w:t>提供合同或任务文件复印件并加盖参选单位鲜章）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461" w:type="pct"/>
            <w:vMerge w:val="continue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00" w:type="pct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2.专业技术能力</w:t>
            </w:r>
          </w:p>
        </w:tc>
        <w:tc>
          <w:tcPr>
            <w:tcW w:w="3638" w:type="pct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参选单位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</w:rPr>
              <w:t>具有工程咨询单位资信证书，资信类别为综合资信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vertAlign w:val="baseli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5" w:hRule="atLeast"/>
          <w:jc w:val="center"/>
        </w:trPr>
        <w:tc>
          <w:tcPr>
            <w:tcW w:w="461" w:type="pct"/>
            <w:vMerge w:val="continue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0" w:type="pct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 w:bidi="ar"/>
              </w:rPr>
              <w:t>.研究团队</w:t>
            </w:r>
          </w:p>
        </w:tc>
        <w:tc>
          <w:tcPr>
            <w:tcW w:w="3638" w:type="pct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（1）拟派课题负责人职称情况和职业资格情况。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（2）团队成员（不含课题负责人）职称情况和咨询工程师情况。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（提供职称证书、咨询工程师资格证书，提供近三个月内缴纳社保的证明材料）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461" w:type="pct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四、价格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部分</w:t>
            </w:r>
          </w:p>
        </w:tc>
        <w:tc>
          <w:tcPr>
            <w:tcW w:w="900" w:type="pct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方案报价</w:t>
            </w:r>
          </w:p>
        </w:tc>
        <w:tc>
          <w:tcPr>
            <w:tcW w:w="3638" w:type="pct"/>
            <w:noWrap w:val="0"/>
            <w:tcMar>
              <w:top w:w="15" w:type="dxa"/>
              <w:left w:w="74" w:type="dxa"/>
              <w:bottom w:w="15" w:type="dxa"/>
              <w:right w:w="7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snapToGrid/>
        <w:spacing w:line="320" w:lineRule="exact"/>
        <w:ind w:firstLine="0" w:firstLineChars="0"/>
        <w:jc w:val="both"/>
        <w:outlineLvl w:val="9"/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备注：1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．</w:t>
      </w:r>
      <w:r>
        <w:rPr>
          <w:rFonts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评审小组对满足资格条件的参选资料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进行评审</w:t>
      </w:r>
      <w:r>
        <w:rPr>
          <w:rFonts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。</w:t>
      </w:r>
    </w:p>
    <w:p>
      <w:pPr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tabs>
          <w:tab w:val="center" w:pos="4153"/>
          <w:tab w:val="right" w:pos="8306"/>
        </w:tabs>
        <w:snapToGrid/>
        <w:spacing w:line="320" w:lineRule="exact"/>
        <w:ind w:firstLine="708" w:firstLineChars="300"/>
        <w:jc w:val="both"/>
        <w:outlineLvl w:val="9"/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2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．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24"/>
          <w:szCs w:val="24"/>
          <w:shd w:val="clear" w:color="auto" w:fill="auto"/>
          <w:lang w:val="en-US" w:eastAsia="zh-CN" w:bidi="ar"/>
        </w:rPr>
        <w:t>以联合体形式申报的，应明确牵头单位主体；资格条件认定中，联合体各方均应满足单位要求和履约信誉要求；商务评分中，仅认定牵头单位成员得分情况。</w:t>
      </w:r>
    </w:p>
    <w:bookmarkEnd w:id="0"/>
    <w:sectPr>
      <w:pgSz w:w="11906" w:h="16838"/>
      <w:pgMar w:top="2098" w:right="1531" w:bottom="1984" w:left="1531" w:header="851" w:footer="1417" w:gutter="0"/>
      <w:pgNumType w:fmt="decimal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4C2399"/>
    <w:rsid w:val="1C8E4DB8"/>
    <w:rsid w:val="304C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2025-11-14T03:11:00Z</dcterms:created>
  <dc:creator>杨于镭</dc:creator>
  <cp:lastModifiedBy>周卒</cp:lastModifiedBy>
  <dcterms:modified xsi:type="dcterms:W3CDTF">2025-11-14T03:31:36Z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2052-11.8.2.12251</vt:lpwstr>
  </property>
  <property fmtid="{D5CDD505-2E9C-101B-9397-08002B2CF9AE}" pid="3" name="ICV">
    <vt:lpwstr>AE54BB59049E436DAC9D06D883C1BFA7</vt:lpwstr>
  </property>
</Properties>
</file>