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spacing w:before="0" w:after="0"/>
        <w:jc w:val="left"/>
        <w:outlineLvl w:val="0"/>
        <w:rPr>
          <w:rFonts w:hint="eastAsia" w:ascii="方正黑体_GBK" w:hAnsi="方正黑体_GBK" w:eastAsia="方正黑体_GBK" w:cs="方正黑体_GBK"/>
          <w:bCs/>
          <w:kern w:val="0"/>
          <w:sz w:val="32"/>
          <w:szCs w:val="28"/>
        </w:rPr>
      </w:pPr>
      <w:bookmarkStart w:id="0" w:name="_GoBack"/>
      <w:bookmarkEnd w:id="0"/>
      <w:r>
        <w:rPr>
          <w:rFonts w:hint="eastAsia" w:ascii="方正黑体_GBK" w:hAnsi="方正黑体_GBK" w:eastAsia="方正黑体_GBK" w:cs="方正黑体_GBK"/>
          <w:bCs/>
          <w:kern w:val="0"/>
          <w:sz w:val="32"/>
          <w:szCs w:val="28"/>
        </w:rPr>
        <w:t>附</w:t>
      </w:r>
      <w:r>
        <w:rPr>
          <w:rFonts w:eastAsia="方正黑体_GBK"/>
          <w:bCs/>
          <w:kern w:val="0"/>
          <w:sz w:val="32"/>
          <w:szCs w:val="28"/>
        </w:rPr>
        <w:t>件</w:t>
      </w:r>
      <w:r>
        <w:rPr>
          <w:rFonts w:hint="eastAsia" w:eastAsia="方正黑体_GBK"/>
          <w:bCs/>
          <w:kern w:val="0"/>
          <w:sz w:val="32"/>
          <w:szCs w:val="28"/>
        </w:rPr>
        <w:t>3</w:t>
      </w:r>
    </w:p>
    <w:p>
      <w:pPr>
        <w:autoSpaceDE w:val="0"/>
        <w:autoSpaceDN w:val="0"/>
        <w:adjustRightInd/>
        <w:spacing w:before="0" w:after="0"/>
        <w:jc w:val="left"/>
        <w:outlineLvl w:val="0"/>
        <w:rPr>
          <w:rFonts w:ascii="方正黑体_GBK" w:hAnsi="方正黑体_GBK" w:eastAsia="方正黑体_GBK" w:cs="方正黑体_GBK"/>
          <w:bCs/>
          <w:kern w:val="0"/>
          <w:sz w:val="32"/>
          <w:szCs w:val="28"/>
        </w:rPr>
      </w:pPr>
    </w:p>
    <w:p>
      <w:pPr>
        <w:adjustRightInd w:val="0"/>
        <w:snapToGrid w:val="0"/>
        <w:spacing w:before="0" w:after="0" w:line="312" w:lineRule="atLeast"/>
        <w:jc w:val="center"/>
        <w:textAlignment w:val="baseline"/>
        <w:rPr>
          <w:rFonts w:hint="eastAsia" w:ascii="华文中宋" w:hAnsi="华文中宋" w:eastAsia="华文中宋"/>
          <w:b/>
          <w:kern w:val="0"/>
          <w:sz w:val="44"/>
          <w:szCs w:val="44"/>
        </w:rPr>
      </w:pPr>
      <w:r>
        <w:rPr>
          <w:rFonts w:hint="eastAsia" w:ascii="华文中宋" w:hAnsi="华文中宋" w:eastAsia="华文中宋"/>
          <w:b/>
          <w:kern w:val="0"/>
          <w:sz w:val="44"/>
          <w:szCs w:val="44"/>
        </w:rPr>
        <w:t>竞争性比选评分办法</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28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jc w:val="center"/>
        </w:trPr>
        <w:tc>
          <w:tcPr>
            <w:tcW w:w="1259" w:type="pct"/>
            <w:noWrap w:val="0"/>
            <w:tcMar>
              <w:top w:w="0" w:type="dxa"/>
              <w:left w:w="105" w:type="dxa"/>
              <w:bottom w:w="0" w:type="dxa"/>
              <w:right w:w="105" w:type="dxa"/>
            </w:tcMar>
            <w:vAlign w:val="center"/>
          </w:tcPr>
          <w:p>
            <w:pPr>
              <w:adjustRightInd w:val="0"/>
              <w:snapToGrid w:val="0"/>
              <w:spacing w:line="240" w:lineRule="auto"/>
              <w:ind w:firstLine="0"/>
              <w:jc w:val="center"/>
              <w:textAlignment w:val="baseline"/>
              <w:rPr>
                <w:rFonts w:eastAsia="方正黑体_GBK"/>
                <w:color w:val="333333"/>
                <w:kern w:val="0"/>
                <w:sz w:val="24"/>
              </w:rPr>
            </w:pPr>
            <w:r>
              <w:rPr>
                <w:rFonts w:eastAsia="方正黑体_GBK"/>
                <w:color w:val="333333"/>
                <w:kern w:val="0"/>
                <w:sz w:val="24"/>
              </w:rPr>
              <w:t>评分因素</w:t>
            </w:r>
          </w:p>
          <w:p>
            <w:pPr>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baseline"/>
              <w:outlineLvl w:val="9"/>
              <w:rPr>
                <w:rFonts w:eastAsia="方正仿宋_GBK"/>
                <w:kern w:val="0"/>
                <w:sz w:val="24"/>
              </w:rPr>
            </w:pPr>
            <w:r>
              <w:rPr>
                <w:rFonts w:eastAsia="方正黑体_GBK"/>
                <w:color w:val="333333"/>
                <w:kern w:val="0"/>
                <w:sz w:val="24"/>
              </w:rPr>
              <w:t>及权重</w:t>
            </w:r>
          </w:p>
        </w:tc>
        <w:tc>
          <w:tcPr>
            <w:tcW w:w="3738" w:type="pct"/>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left="0" w:leftChars="0" w:right="0" w:rightChars="0"/>
              <w:jc w:val="center"/>
              <w:textAlignment w:val="baseline"/>
              <w:outlineLvl w:val="9"/>
              <w:rPr>
                <w:rFonts w:eastAsia="方正仿宋_GBK"/>
                <w:kern w:val="0"/>
                <w:sz w:val="24"/>
              </w:rPr>
            </w:pPr>
            <w:r>
              <w:rPr>
                <w:rFonts w:eastAsia="方正黑体_GBK"/>
                <w:color w:val="333333"/>
                <w:kern w:val="0"/>
                <w:sz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9" w:type="pct"/>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eastAsia="方正黑体_GBK"/>
                <w:kern w:val="0"/>
                <w:sz w:val="24"/>
              </w:rPr>
            </w:pPr>
            <w:r>
              <w:rPr>
                <w:rFonts w:eastAsia="方正仿宋_GBK"/>
                <w:kern w:val="0"/>
                <w:sz w:val="24"/>
              </w:rPr>
              <w:t>报价部分（10分）</w:t>
            </w:r>
          </w:p>
        </w:tc>
        <w:tc>
          <w:tcPr>
            <w:tcW w:w="3738" w:type="pct"/>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eastAsia="方正黑体_GBK"/>
                <w:color w:val="333333"/>
                <w:kern w:val="0"/>
                <w:sz w:val="24"/>
              </w:rPr>
            </w:pPr>
            <w:r>
              <w:rPr>
                <w:rFonts w:eastAsia="方正仿宋_GBK"/>
                <w:kern w:val="0"/>
                <w:sz w:val="24"/>
              </w:rPr>
              <w:t>以参选单位的平均报价为基准，实际报价低于平均报价，以及高于平均报价百分之五以内的不扣分；实际报价高于平均报价百分之五的，根据偏离度按比例扣分，每高出百分之五扣2分，直至扣完为止。报价需罗列预计支出明细，未列明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3" w:hRule="atLeast"/>
          <w:jc w:val="center"/>
        </w:trPr>
        <w:tc>
          <w:tcPr>
            <w:tcW w:w="1259" w:type="pct"/>
            <w:vMerge w:val="restart"/>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left"/>
              <w:textAlignment w:val="auto"/>
              <w:outlineLvl w:val="9"/>
              <w:rPr>
                <w:rFonts w:eastAsia="方正仿宋_GBK"/>
                <w:kern w:val="0"/>
                <w:sz w:val="24"/>
              </w:rPr>
            </w:pPr>
            <w:r>
              <w:rPr>
                <w:rFonts w:eastAsia="方正仿宋_GBK"/>
                <w:kern w:val="0"/>
                <w:sz w:val="24"/>
              </w:rPr>
              <w:t>商务部分（40分）</w:t>
            </w:r>
          </w:p>
        </w:tc>
        <w:tc>
          <w:tcPr>
            <w:tcW w:w="3738" w:type="pct"/>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eastAsia="方正仿宋_GBK"/>
                <w:kern w:val="0"/>
                <w:sz w:val="24"/>
                <w:lang w:bidi="ar"/>
              </w:rPr>
            </w:pPr>
            <w:r>
              <w:rPr>
                <w:rFonts w:eastAsia="方正仿宋_GBK"/>
                <w:kern w:val="0"/>
                <w:sz w:val="24"/>
                <w:lang w:bidi="ar"/>
              </w:rPr>
              <w:t>1.人员要求（20分）</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eastAsia="方正仿宋_GBK"/>
                <w:kern w:val="0"/>
                <w:sz w:val="24"/>
                <w:lang w:bidi="ar"/>
              </w:rPr>
            </w:pPr>
            <w:r>
              <w:rPr>
                <w:rFonts w:eastAsia="方正仿宋_GBK"/>
                <w:kern w:val="0"/>
                <w:sz w:val="24"/>
                <w:lang w:bidi="ar"/>
              </w:rPr>
              <w:t>（1）项目负责人具有高级职称的，得8分，否则不得分。（2）项目团队成员（不含负责人）具有高级及以上技术职称或注册咨询工程师执业资格的，每有一个得3分，最多得12分。（序号（1）需提供职称证书复印件；序号（2）需提供职称证书或注册咨询工程师电子登记证书复印件。复印件均需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9" w:type="pct"/>
            <w:vMerge w:val="continue"/>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left"/>
              <w:textAlignment w:val="auto"/>
              <w:outlineLvl w:val="9"/>
              <w:rPr>
                <w:rFonts w:eastAsia="方正楷体_GBK"/>
                <w:color w:val="333333"/>
                <w:kern w:val="0"/>
                <w:sz w:val="24"/>
              </w:rPr>
            </w:pPr>
          </w:p>
        </w:tc>
        <w:tc>
          <w:tcPr>
            <w:tcW w:w="3738" w:type="pct"/>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eastAsia="方正仿宋_GBK"/>
                <w:kern w:val="0"/>
                <w:sz w:val="24"/>
              </w:rPr>
            </w:pPr>
            <w:r>
              <w:rPr>
                <w:rFonts w:eastAsia="方正仿宋_GBK"/>
                <w:kern w:val="0"/>
                <w:sz w:val="24"/>
              </w:rPr>
              <w:t>2.业绩要求（20分）</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eastAsia="方正仿宋_GBK"/>
                <w:color w:val="333333"/>
                <w:kern w:val="0"/>
                <w:sz w:val="24"/>
              </w:rPr>
            </w:pPr>
            <w:r>
              <w:rPr>
                <w:rFonts w:eastAsia="方正仿宋_GBK"/>
                <w:kern w:val="0"/>
                <w:sz w:val="24"/>
              </w:rPr>
              <w:t>2019年1月1日起至竞选文件截止时间止（以合同签订时间为准）竞选人独立承担</w:t>
            </w:r>
            <w:r>
              <w:rPr>
                <w:rFonts w:hint="eastAsia" w:eastAsia="方正仿宋_GBK"/>
                <w:kern w:val="0"/>
                <w:sz w:val="24"/>
              </w:rPr>
              <w:t>相关</w:t>
            </w:r>
            <w:r>
              <w:rPr>
                <w:rFonts w:eastAsia="方正仿宋_GBK"/>
                <w:kern w:val="0"/>
                <w:sz w:val="24"/>
              </w:rPr>
              <w:t>咨询评估业绩成果的，每有1个得5分，最多得</w:t>
            </w:r>
            <w:r>
              <w:rPr>
                <w:rFonts w:hint="eastAsia" w:eastAsia="方正仿宋_GBK"/>
                <w:kern w:val="0"/>
                <w:sz w:val="24"/>
              </w:rPr>
              <w:t>20</w:t>
            </w:r>
            <w:r>
              <w:rPr>
                <w:rFonts w:eastAsia="方正仿宋_GBK"/>
                <w:kern w:val="0"/>
                <w:sz w:val="24"/>
              </w:rPr>
              <w:t>分。（需提供合同复印件并加盖单位鲜章。）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9" w:type="pct"/>
            <w:vMerge w:val="restart"/>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eastAsia="方正仿宋_GBK"/>
                <w:kern w:val="0"/>
                <w:sz w:val="24"/>
              </w:rPr>
            </w:pPr>
            <w:r>
              <w:rPr>
                <w:rFonts w:eastAsia="方正仿宋_GBK"/>
                <w:kern w:val="0"/>
                <w:sz w:val="24"/>
              </w:rPr>
              <w:t>技术部分（50分）</w:t>
            </w:r>
          </w:p>
        </w:tc>
        <w:tc>
          <w:tcPr>
            <w:tcW w:w="3738" w:type="pct"/>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eastAsia="方正仿宋_GBK"/>
                <w:kern w:val="0"/>
                <w:sz w:val="24"/>
              </w:rPr>
            </w:pPr>
            <w:r>
              <w:rPr>
                <w:rFonts w:eastAsia="方正仿宋_GBK"/>
                <w:kern w:val="0"/>
                <w:sz w:val="24"/>
              </w:rPr>
              <w:t>1.对工作方案的认识及分析（10分）</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eastAsia="方正仿宋_GBK"/>
                <w:kern w:val="0"/>
                <w:sz w:val="24"/>
              </w:rPr>
            </w:pPr>
            <w:r>
              <w:rPr>
                <w:rFonts w:eastAsia="方正仿宋_GBK"/>
                <w:kern w:val="0"/>
                <w:sz w:val="24"/>
              </w:rPr>
              <w:t>对重大建设项目领域基层政务公开标准化评估工作相关内容认识准确、理解充分、分析到位等情况进行打分。优秀得10分，良好得8分，较好得6分，一般得4分，大部分不合理得2分，完全不合理或未提供不得分。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9" w:type="pct"/>
            <w:vMerge w:val="continue"/>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eastAsia="方正仿宋_GBK"/>
                <w:kern w:val="0"/>
                <w:sz w:val="24"/>
              </w:rPr>
            </w:pPr>
          </w:p>
        </w:tc>
        <w:tc>
          <w:tcPr>
            <w:tcW w:w="3738" w:type="pct"/>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eastAsia="方正仿宋_GBK"/>
                <w:kern w:val="0"/>
                <w:sz w:val="24"/>
              </w:rPr>
            </w:pPr>
            <w:r>
              <w:rPr>
                <w:rFonts w:eastAsia="方正仿宋_GBK"/>
                <w:kern w:val="0"/>
                <w:sz w:val="24"/>
              </w:rPr>
              <w:t>2.大纲结构（15分）</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eastAsia="方正仿宋_GBK"/>
                <w:kern w:val="0"/>
                <w:sz w:val="24"/>
              </w:rPr>
            </w:pPr>
            <w:r>
              <w:rPr>
                <w:rFonts w:eastAsia="方正仿宋_GBK"/>
                <w:kern w:val="0"/>
                <w:sz w:val="24"/>
              </w:rPr>
              <w:t>对方案编制大纲结构的科学性、全面性、合理性等情况进行打分。优秀得15分，良好得12分，较好得9分，一般得6分，大部分不合理得3分，完全不合理或未提供不得分。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0" w:hRule="atLeast"/>
          <w:jc w:val="center"/>
        </w:trPr>
        <w:tc>
          <w:tcPr>
            <w:tcW w:w="1259" w:type="pct"/>
            <w:vMerge w:val="continue"/>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eastAsia="方正仿宋_GBK"/>
                <w:kern w:val="0"/>
                <w:sz w:val="24"/>
              </w:rPr>
            </w:pPr>
          </w:p>
        </w:tc>
        <w:tc>
          <w:tcPr>
            <w:tcW w:w="3738" w:type="pct"/>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eastAsia="方正仿宋_GBK"/>
                <w:kern w:val="0"/>
                <w:sz w:val="24"/>
              </w:rPr>
            </w:pPr>
            <w:r>
              <w:rPr>
                <w:rFonts w:eastAsia="方正仿宋_GBK"/>
                <w:kern w:val="0"/>
                <w:sz w:val="24"/>
              </w:rPr>
              <w:t>3.对实施方案的技术措施（15分）</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eastAsia="方正仿宋_GBK"/>
                <w:kern w:val="0"/>
                <w:sz w:val="24"/>
              </w:rPr>
            </w:pPr>
            <w:r>
              <w:rPr>
                <w:rFonts w:eastAsia="方正仿宋_GBK"/>
                <w:kern w:val="0"/>
                <w:sz w:val="24"/>
              </w:rPr>
              <w:t>对重大建设项目领域基层政务公开标准化评估工作具有较强的针对性，提出的工作思路、任务目标、工作重点、措施举措等进行打分。优秀得15分，良好得12分，较好得9分，一般得6分，大部分不合理得3分，完全不合理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0" w:hRule="atLeast"/>
          <w:jc w:val="center"/>
        </w:trPr>
        <w:tc>
          <w:tcPr>
            <w:tcW w:w="1259" w:type="pct"/>
            <w:vMerge w:val="continue"/>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eastAsia="方正仿宋_GBK"/>
                <w:kern w:val="0"/>
                <w:sz w:val="24"/>
              </w:rPr>
            </w:pPr>
          </w:p>
        </w:tc>
        <w:tc>
          <w:tcPr>
            <w:tcW w:w="3738" w:type="pct"/>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eastAsia="方正仿宋_GBK"/>
                <w:kern w:val="0"/>
                <w:sz w:val="24"/>
              </w:rPr>
            </w:pPr>
            <w:r>
              <w:rPr>
                <w:rFonts w:eastAsia="方正仿宋_GBK"/>
                <w:kern w:val="0"/>
                <w:sz w:val="24"/>
              </w:rPr>
              <w:t>4.项目进度计划及组织措施（5分）</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eastAsia="方正仿宋_GBK"/>
                <w:kern w:val="0"/>
                <w:sz w:val="24"/>
              </w:rPr>
            </w:pPr>
            <w:r>
              <w:rPr>
                <w:rFonts w:eastAsia="方正仿宋_GBK"/>
                <w:kern w:val="0"/>
                <w:sz w:val="24"/>
              </w:rPr>
              <w:t>对在要求的时间阶段内对项目各阶段时间周期及各阶段完成的项目内容有详尽的描述，且人员等设置配置情况进行打分。优秀得5分，良好得4分，较好得3分，一般得2分，大部分不合理得1分，完全不合理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0" w:hRule="atLeast"/>
          <w:jc w:val="center"/>
        </w:trPr>
        <w:tc>
          <w:tcPr>
            <w:tcW w:w="1259" w:type="pct"/>
            <w:vMerge w:val="continue"/>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eastAsia="方正仿宋_GBK"/>
                <w:kern w:val="0"/>
                <w:sz w:val="24"/>
              </w:rPr>
            </w:pPr>
          </w:p>
        </w:tc>
        <w:tc>
          <w:tcPr>
            <w:tcW w:w="3738" w:type="pct"/>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eastAsia="方正仿宋_GBK"/>
                <w:kern w:val="0"/>
                <w:sz w:val="24"/>
              </w:rPr>
            </w:pPr>
            <w:r>
              <w:rPr>
                <w:rFonts w:eastAsia="方正仿宋_GBK"/>
                <w:kern w:val="0"/>
                <w:sz w:val="24"/>
              </w:rPr>
              <w:t>5.申报资料质量（5分）</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eastAsia="方正仿宋_GBK"/>
                <w:kern w:val="0"/>
                <w:sz w:val="24"/>
              </w:rPr>
            </w:pPr>
            <w:r>
              <w:rPr>
                <w:rFonts w:eastAsia="方正仿宋_GBK"/>
                <w:kern w:val="0"/>
                <w:sz w:val="24"/>
              </w:rPr>
              <w:t>对申报资料的完整、齐备性等进行打分。优秀得5分，良好得4分，较好得3分，一般得2分，大部分不合理得1分，完全不合理或未提供不得分。</w:t>
            </w:r>
          </w:p>
        </w:tc>
      </w:tr>
    </w:tbl>
    <w:p>
      <w:pPr>
        <w:adjustRightInd w:val="0"/>
        <w:spacing w:before="0" w:after="0" w:line="400" w:lineRule="exact"/>
        <w:textAlignment w:val="baseline"/>
        <w:rPr>
          <w:rFonts w:eastAsia="方正仿宋_GBK"/>
          <w:kern w:val="0"/>
          <w:sz w:val="32"/>
          <w:szCs w:val="32"/>
        </w:rPr>
      </w:pPr>
    </w:p>
    <w:sectPr>
      <w:headerReference r:id="rId7" w:type="first"/>
      <w:headerReference r:id="rId5" w:type="default"/>
      <w:footerReference r:id="rId8" w:type="default"/>
      <w:headerReference r:id="rId6" w:type="even"/>
      <w:pgSz w:w="11906" w:h="16838"/>
      <w:pgMar w:top="2098" w:right="1531" w:bottom="1985" w:left="1531" w:header="851" w:footer="1418" w:gutter="0"/>
      <w:pgNumType w:fmt="decimal"/>
      <w:cols w:space="720"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5000" w:type="pct"/>
      <w:tblInd w:w="0" w:type="dxa"/>
      <w:tblBorders>
        <w:top w:val="single" w:color="000000" w:sz="8"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54"/>
      <w:gridCol w:w="906"/>
    </w:tblGrid>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0" w:type="pct"/>
        </w:tcPr>
        <w:p>
          <w:pPr>
            <w:jc w:val="left"/>
            <w:rPr>
              <w:rFonts w:ascii="方正仿宋_GBK" w:hAnsi="方正仿宋_GBK" w:eastAsia="方正仿宋_GBK" w:cs="方正仿宋_GBK"/>
              <w:b w:val="0"/>
              <w:i w:val="0"/>
              <w:color w:val="auto"/>
              <w:sz w:val="24"/>
              <w:u w:val="none" w:color="auto"/>
            </w:rPr>
          </w:pPr>
          <w:r>
            <w:rPr>
              <w:rFonts w:ascii="方正仿宋_GBK" w:hAnsi="方正仿宋_GBK" w:eastAsia="方正仿宋_GBK" w:cs="方正仿宋_GBK"/>
              <w:b w:val="0"/>
              <w:i w:val="0"/>
              <w:color w:val="auto"/>
              <w:sz w:val="24"/>
              <w:u w:val="none" w:color="auto"/>
            </w:rPr>
            <w:t>核稿人： 2024年10月21日</w:t>
          </w:r>
        </w:p>
      </w:tc>
      <w:tc>
        <w:tcPr>
          <w:tcW w:w="500" w:type="pct"/>
          <w:vAlign w:val="center"/>
        </w:tcPr>
        <w:p>
          <w:pPr>
            <w:jc w:val="right"/>
            <w:rPr>
              <w:rFonts w:ascii="方正仿宋_GBK" w:hAnsi="方正仿宋_GBK" w:eastAsia="方正仿宋_GBK" w:cs="方正仿宋_GBK"/>
              <w:b w:val="0"/>
              <w:i w:val="0"/>
              <w:color w:val="auto"/>
              <w:sz w:val="24"/>
              <w:u w:val="none" w:color="auto"/>
            </w:rPr>
          </w:pPr>
          <w:r>
            <w:rPr>
              <w:rFonts w:ascii="方正仿宋_GBK" w:hAnsi="方正仿宋_GBK" w:eastAsia="方正仿宋_GBK" w:cs="方正仿宋_GBK"/>
              <w:b w:val="0"/>
              <w:i w:val="0"/>
              <w:color w:val="auto"/>
              <w:sz w:val="24"/>
              <w:u w:val="none" w:color="auto"/>
            </w:rPr>
            <w:fldChar w:fldCharType="begin"/>
          </w:r>
          <w:r>
            <w:rPr>
              <w:rFonts w:ascii="方正仿宋_GBK" w:hAnsi="方正仿宋_GBK" w:eastAsia="方正仿宋_GBK" w:cs="方正仿宋_GBK"/>
              <w:b w:val="0"/>
              <w:i w:val="0"/>
              <w:color w:val="auto"/>
              <w:sz w:val="24"/>
              <w:u w:val="none" w:color="auto"/>
            </w:rPr>
            <w:instrText xml:space="preserve"> PAGE </w:instrText>
          </w:r>
          <w:r>
            <w:rPr>
              <w:rFonts w:ascii="方正仿宋_GBK" w:hAnsi="方正仿宋_GBK" w:eastAsia="方正仿宋_GBK" w:cs="方正仿宋_GBK"/>
              <w:b w:val="0"/>
              <w:i w:val="0"/>
              <w:color w:val="auto"/>
              <w:sz w:val="24"/>
              <w:u w:val="none" w:color="auto"/>
            </w:rPr>
            <w:fldChar w:fldCharType="separate"/>
          </w:r>
          <w:r>
            <w:rPr>
              <w:rFonts w:ascii="方正仿宋_GBK" w:hAnsi="方正仿宋_GBK" w:eastAsia="方正仿宋_GBK" w:cs="方正仿宋_GBK"/>
              <w:b w:val="0"/>
              <w:i w:val="0"/>
              <w:color w:val="auto"/>
              <w:kern w:val="2"/>
              <w:sz w:val="24"/>
              <w:szCs w:val="24"/>
              <w:u w:val="none" w:color="auto"/>
              <w:lang w:val="en-US" w:eastAsia="zh-CN" w:bidi="ar-SA"/>
            </w:rPr>
            <w:t>5</w:t>
          </w:r>
          <w:r>
            <w:rPr>
              <w:rFonts w:ascii="方正仿宋_GBK" w:hAnsi="方正仿宋_GBK" w:eastAsia="方正仿宋_GBK" w:cs="方正仿宋_GBK"/>
              <w:b w:val="0"/>
              <w:i w:val="0"/>
              <w:color w:val="auto"/>
              <w:sz w:val="24"/>
              <w:u w:val="none" w:color="auto"/>
            </w:rPr>
            <w:fldChar w:fldCharType="end"/>
          </w:r>
        </w:p>
      </w:tc>
    </w:tr>
  </w:tbl>
  <w:p>
    <w:pPr>
      <w:spacing w:before="20" w:after="20" w:line="20" w:lineRule="auto"/>
      <w:rPr>
        <w:rFonts w:ascii="方正仿宋_GBK" w:hAnsi="方正仿宋_GBK" w:eastAsia="方正仿宋_GBK" w:cs="方正仿宋_GBK"/>
        <w:b w:val="0"/>
        <w:i w:val="0"/>
        <w:color w:val="auto"/>
        <w:sz w:val="2"/>
        <w:u w:val="none" w:color="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0"/>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4NmFmMGE2NWJhMjRlZjZjOWIzMzhiM2E1OGJiOTcifQ=="/>
  </w:docVars>
  <w:rsids>
    <w:rsidRoot w:val="003851FB"/>
    <w:rsid w:val="00002675"/>
    <w:rsid w:val="00013A8E"/>
    <w:rsid w:val="00023D51"/>
    <w:rsid w:val="000D1628"/>
    <w:rsid w:val="000E0CEE"/>
    <w:rsid w:val="000E2DF3"/>
    <w:rsid w:val="000E6B02"/>
    <w:rsid w:val="000F4649"/>
    <w:rsid w:val="00121B20"/>
    <w:rsid w:val="00143EDA"/>
    <w:rsid w:val="00177A81"/>
    <w:rsid w:val="001B0D66"/>
    <w:rsid w:val="001B1A61"/>
    <w:rsid w:val="001C1DCF"/>
    <w:rsid w:val="001D2476"/>
    <w:rsid w:val="001E343B"/>
    <w:rsid w:val="00224089"/>
    <w:rsid w:val="00271F2D"/>
    <w:rsid w:val="002912BF"/>
    <w:rsid w:val="002B3400"/>
    <w:rsid w:val="003004A7"/>
    <w:rsid w:val="00326F5F"/>
    <w:rsid w:val="00340BE3"/>
    <w:rsid w:val="003814A9"/>
    <w:rsid w:val="003851FB"/>
    <w:rsid w:val="003A393B"/>
    <w:rsid w:val="003A3E1E"/>
    <w:rsid w:val="003C2DA1"/>
    <w:rsid w:val="003E203F"/>
    <w:rsid w:val="004079AF"/>
    <w:rsid w:val="0041616A"/>
    <w:rsid w:val="00437C19"/>
    <w:rsid w:val="00446E74"/>
    <w:rsid w:val="004529F8"/>
    <w:rsid w:val="00465F59"/>
    <w:rsid w:val="00493303"/>
    <w:rsid w:val="00495663"/>
    <w:rsid w:val="004C318B"/>
    <w:rsid w:val="004F4F25"/>
    <w:rsid w:val="0051344F"/>
    <w:rsid w:val="00516DD6"/>
    <w:rsid w:val="00585030"/>
    <w:rsid w:val="005913B5"/>
    <w:rsid w:val="00595A88"/>
    <w:rsid w:val="005D3746"/>
    <w:rsid w:val="005F207F"/>
    <w:rsid w:val="00642AF6"/>
    <w:rsid w:val="00645652"/>
    <w:rsid w:val="00677459"/>
    <w:rsid w:val="006D6FAA"/>
    <w:rsid w:val="0070493A"/>
    <w:rsid w:val="007911B1"/>
    <w:rsid w:val="007C3136"/>
    <w:rsid w:val="007C4FEA"/>
    <w:rsid w:val="008439A6"/>
    <w:rsid w:val="008479AF"/>
    <w:rsid w:val="008521A7"/>
    <w:rsid w:val="008C17EE"/>
    <w:rsid w:val="00915E02"/>
    <w:rsid w:val="00925201"/>
    <w:rsid w:val="009B55D3"/>
    <w:rsid w:val="00A10104"/>
    <w:rsid w:val="00A12D49"/>
    <w:rsid w:val="00A309A7"/>
    <w:rsid w:val="00A71D9F"/>
    <w:rsid w:val="00A925C7"/>
    <w:rsid w:val="00AE3C40"/>
    <w:rsid w:val="00B105BD"/>
    <w:rsid w:val="00B16378"/>
    <w:rsid w:val="00B43F64"/>
    <w:rsid w:val="00B47A14"/>
    <w:rsid w:val="00B50286"/>
    <w:rsid w:val="00B805A2"/>
    <w:rsid w:val="00B862D7"/>
    <w:rsid w:val="00B863F7"/>
    <w:rsid w:val="00BA5DEF"/>
    <w:rsid w:val="00C13005"/>
    <w:rsid w:val="00C32493"/>
    <w:rsid w:val="00C70AAD"/>
    <w:rsid w:val="00C74B7F"/>
    <w:rsid w:val="00C9457C"/>
    <w:rsid w:val="00C96875"/>
    <w:rsid w:val="00C97B3C"/>
    <w:rsid w:val="00CB67AF"/>
    <w:rsid w:val="00CC347C"/>
    <w:rsid w:val="00CC42FC"/>
    <w:rsid w:val="00CD7F03"/>
    <w:rsid w:val="00CE7744"/>
    <w:rsid w:val="00CF2EF6"/>
    <w:rsid w:val="00CF7AAC"/>
    <w:rsid w:val="00D11494"/>
    <w:rsid w:val="00D126F4"/>
    <w:rsid w:val="00D20B65"/>
    <w:rsid w:val="00D5514F"/>
    <w:rsid w:val="00D66DF0"/>
    <w:rsid w:val="00DE4CFE"/>
    <w:rsid w:val="00DF4128"/>
    <w:rsid w:val="00E15534"/>
    <w:rsid w:val="00E371E5"/>
    <w:rsid w:val="00E73769"/>
    <w:rsid w:val="00E82A7C"/>
    <w:rsid w:val="00EB13C8"/>
    <w:rsid w:val="00EB764E"/>
    <w:rsid w:val="00F62982"/>
    <w:rsid w:val="00F76692"/>
    <w:rsid w:val="00F92446"/>
    <w:rsid w:val="053E5163"/>
    <w:rsid w:val="05FD313A"/>
    <w:rsid w:val="073401D3"/>
    <w:rsid w:val="07741B08"/>
    <w:rsid w:val="089D7AD1"/>
    <w:rsid w:val="0C791917"/>
    <w:rsid w:val="0FDF1E76"/>
    <w:rsid w:val="0FE5322B"/>
    <w:rsid w:val="16895D48"/>
    <w:rsid w:val="1A06336E"/>
    <w:rsid w:val="1B430D39"/>
    <w:rsid w:val="1B69491E"/>
    <w:rsid w:val="1B7603B9"/>
    <w:rsid w:val="2078393B"/>
    <w:rsid w:val="217878D3"/>
    <w:rsid w:val="2574047D"/>
    <w:rsid w:val="25C45DD0"/>
    <w:rsid w:val="27FF4C0F"/>
    <w:rsid w:val="29975D96"/>
    <w:rsid w:val="2C791D30"/>
    <w:rsid w:val="2ED146D8"/>
    <w:rsid w:val="31194FF5"/>
    <w:rsid w:val="33190F48"/>
    <w:rsid w:val="33BA7FE7"/>
    <w:rsid w:val="349400DD"/>
    <w:rsid w:val="35D87520"/>
    <w:rsid w:val="38860EF8"/>
    <w:rsid w:val="397FDBA3"/>
    <w:rsid w:val="39B87C26"/>
    <w:rsid w:val="3ADD0D2F"/>
    <w:rsid w:val="3EB95C2F"/>
    <w:rsid w:val="40713CB2"/>
    <w:rsid w:val="41CF6E95"/>
    <w:rsid w:val="42260CB6"/>
    <w:rsid w:val="469E1A2B"/>
    <w:rsid w:val="4DBCA674"/>
    <w:rsid w:val="53A405E4"/>
    <w:rsid w:val="53DD4550"/>
    <w:rsid w:val="541C285D"/>
    <w:rsid w:val="57661FAC"/>
    <w:rsid w:val="5B9E7940"/>
    <w:rsid w:val="5C9653C1"/>
    <w:rsid w:val="5FA94601"/>
    <w:rsid w:val="611B3C3B"/>
    <w:rsid w:val="64E81EFD"/>
    <w:rsid w:val="652B796C"/>
    <w:rsid w:val="6876679B"/>
    <w:rsid w:val="69702936"/>
    <w:rsid w:val="6B1878CB"/>
    <w:rsid w:val="6C35118E"/>
    <w:rsid w:val="6D002903"/>
    <w:rsid w:val="6DC36BE4"/>
    <w:rsid w:val="70703C63"/>
    <w:rsid w:val="71BF8CA1"/>
    <w:rsid w:val="7264193E"/>
    <w:rsid w:val="74661BC8"/>
    <w:rsid w:val="770065E9"/>
    <w:rsid w:val="791E0CEE"/>
    <w:rsid w:val="7BB7AE6E"/>
    <w:rsid w:val="FEFCC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left="708"/>
    </w:pPr>
  </w:style>
  <w:style w:type="paragraph" w:styleId="3">
    <w:name w:val="Balloon Text"/>
    <w:basedOn w:val="1"/>
    <w:semiHidden/>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99"/>
    <w:rPr>
      <w:kern w:val="2"/>
      <w:sz w:val="18"/>
      <w:szCs w:val="18"/>
    </w:rPr>
  </w:style>
  <w:style w:type="character" w:customStyle="1" w:styleId="9">
    <w:name w:val="页脚 Char"/>
    <w:link w:val="4"/>
    <w:qFormat/>
    <w:uiPriority w:val="99"/>
    <w:rPr>
      <w:kern w:val="2"/>
      <w:sz w:val="18"/>
      <w:szCs w:val="18"/>
    </w:rPr>
  </w:style>
  <w:style w:type="paragraph" w:customStyle="1" w:styleId="10">
    <w:name w:val="Char"/>
    <w:basedOn w:val="1"/>
    <w:qFormat/>
    <w:uiPriority w:val="0"/>
    <w:pPr>
      <w:tabs>
        <w:tab w:val="left" w:pos="432"/>
      </w:tabs>
      <w:ind w:left="432" w:hanging="432"/>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9</Words>
  <Characters>20</Characters>
  <Lines>1</Lines>
  <Paragraphs>1</Paragraphs>
  <TotalTime>13</TotalTime>
  <ScaleCrop>false</ScaleCrop>
  <LinksUpToDate>false</LinksUpToDate>
  <CharactersWithSpaces>20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2008-09-27T07:08:00Z</dcterms:created>
  <dc:creator>微软用户</dc:creator>
  <cp:lastModifiedBy>周卒</cp:lastModifiedBy>
  <cp:lastPrinted>2008-09-29T00:49:00Z</cp:lastPrinted>
  <dcterms:modified xsi:type="dcterms:W3CDTF">2024-10-25T08:02:29Z</dcterms:modified>
  <dc:title>重庆市发展和改革委员会</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BE9B6DD06A354CDFA0B6F5344D3F3624_13</vt:lpwstr>
  </property>
  <property fmtid="{D5CDD505-2E9C-101B-9397-08002B2CF9AE}" pid="3" name="KSOProductBuildVer">
    <vt:lpwstr>2052-11.8.2.12251</vt:lpwstr>
  </property>
</Properties>
</file>