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/>
        <w:spacing w:before="0" w:beforeLines="0" w:after="0" w:afterLines="0" w:line="580" w:lineRule="exact"/>
        <w:ind w:firstLine="0" w:firstLineChars="0"/>
        <w:jc w:val="both"/>
        <w:textAlignment w:val="auto"/>
        <w:outlineLvl w:val="9"/>
        <w:rPr>
          <w:rFonts w:hint="eastAsia" w:ascii="Times New Roman" w:hAnsi="Times New Roman" w:eastAsia="方正小标宋_GBK" w:cs="Arial"/>
          <w:bCs/>
          <w:color w:val="000000"/>
          <w:kern w:val="2"/>
          <w:sz w:val="44"/>
          <w:szCs w:val="24"/>
        </w:rPr>
      </w:pPr>
      <w:bookmarkStart w:id="0" w:name="_GoBack"/>
      <w:bookmarkEnd w:id="0"/>
    </w:p>
    <w:p>
      <w:pPr>
        <w:overflowPunct w:val="0"/>
        <w:adjustRightInd/>
        <w:spacing w:before="0" w:beforeLines="0" w:after="0" w:afterLines="0" w:line="58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Arial"/>
          <w:bCs/>
          <w:color w:val="000000"/>
          <w:kern w:val="2"/>
          <w:sz w:val="44"/>
          <w:szCs w:val="24"/>
        </w:rPr>
      </w:pPr>
      <w:r>
        <w:rPr>
          <w:rFonts w:hint="eastAsia" w:ascii="Times New Roman" w:hAnsi="Times New Roman" w:eastAsia="方正小标宋_GBK" w:cs="Arial"/>
          <w:bCs/>
          <w:color w:val="000000"/>
          <w:kern w:val="2"/>
          <w:sz w:val="44"/>
          <w:szCs w:val="24"/>
        </w:rPr>
        <w:t>重庆市发展和改革委员会</w:t>
      </w:r>
    </w:p>
    <w:p>
      <w:pPr>
        <w:overflowPunct w:val="0"/>
        <w:adjustRightInd/>
        <w:spacing w:before="0" w:beforeLines="0" w:after="0" w:afterLines="0" w:line="58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Arial"/>
          <w:bCs/>
          <w:color w:val="000000"/>
          <w:kern w:val="2"/>
          <w:sz w:val="44"/>
          <w:szCs w:val="24"/>
        </w:rPr>
      </w:pPr>
      <w:r>
        <w:rPr>
          <w:rFonts w:hint="eastAsia" w:ascii="Times New Roman" w:hAnsi="Times New Roman" w:eastAsia="方正小标宋_GBK" w:cs="Arial"/>
          <w:bCs/>
          <w:color w:val="000000"/>
          <w:kern w:val="2"/>
          <w:sz w:val="44"/>
          <w:szCs w:val="24"/>
        </w:rPr>
        <w:t>关于废止一批行政规范性文件的通知</w:t>
      </w:r>
    </w:p>
    <w:p>
      <w:pPr>
        <w:overflowPunct w:val="0"/>
        <w:adjustRightInd/>
        <w:spacing w:before="0" w:beforeLines="0" w:after="0" w:afterLines="0" w:line="240" w:lineRule="auto"/>
        <w:jc w:val="center"/>
        <w:rPr>
          <w:rFonts w:ascii="Times New Roman" w:hAnsi="Times New Roman" w:cs="方正仿宋_GBK"/>
          <w:bCs/>
        </w:rPr>
      </w:pPr>
      <w:r>
        <w:rPr>
          <w:rFonts w:hint="eastAsia" w:eastAsia="方正仿宋_GBK" w:cs="方正仿宋_GBK"/>
          <w:kern w:val="2"/>
        </w:rPr>
        <w:t>渝发改规范〔2025〕</w:t>
      </w:r>
      <w:r>
        <w:rPr>
          <w:rFonts w:hint="eastAsia" w:cs="方正仿宋_GBK"/>
          <w:kern w:val="2"/>
          <w:lang w:val="en-US" w:eastAsia="zh-CN"/>
        </w:rPr>
        <w:t>4</w:t>
      </w:r>
      <w:r>
        <w:rPr>
          <w:rFonts w:hint="eastAsia" w:eastAsia="方正仿宋_GBK" w:cs="方正仿宋_GBK"/>
          <w:kern w:val="2"/>
        </w:rPr>
        <w:t>号</w:t>
      </w:r>
    </w:p>
    <w:p>
      <w:pPr>
        <w:overflowPunct w:val="0"/>
        <w:adjustRightInd/>
        <w:spacing w:before="0" w:beforeLines="0" w:after="0" w:afterLines="0" w:line="240" w:lineRule="auto"/>
        <w:ind w:firstLine="0" w:firstLineChars="0"/>
        <w:textAlignment w:val="auto"/>
        <w:rPr>
          <w:rFonts w:ascii="Times New Roman" w:hAnsi="Times New Roman" w:eastAsia="宋体" w:cs="Arial"/>
          <w:bCs/>
          <w:color w:val="000000"/>
          <w:kern w:val="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Times New Roman" w:hAnsi="Times New Roman" w:cs="方正仿宋_GBK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方正仿宋_GBK"/>
          <w:color w:val="000000" w:themeColor="text1"/>
          <w:kern w:val="2"/>
          <w14:textFill>
            <w14:solidFill>
              <w14:schemeClr w14:val="tx1"/>
            </w14:solidFill>
          </w14:textFill>
        </w:rPr>
        <w:t>市级有关部门，各区县（自治县）发展改革委、两江新区经济运行局、西部科学城重庆高新区改革发展局、万盛经开区发展改革局，有关单位：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  <w:t>经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重庆市发展改革</w:t>
      </w:r>
      <w:r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  <w:t>委主任办公会第104次会议审议通过，决定废止《支持企业高质量发展若干政策措施》（渝发改体改〔2024〕17号）等11件行政规范性文件，相关文件自本通知印发之日起不再施行。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  <w:t>特此通知。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  <w:t>附件：废止的行政规范性文件目录（共11件）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4614" w:firstLineChars="1460"/>
        <w:textAlignment w:val="auto"/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重庆市发展和改革委员会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5214" w:firstLineChars="1650"/>
        <w:textAlignment w:val="auto"/>
        <w:rPr>
          <w:rFonts w:hint="eastAsia" w:ascii="Times New Roman" w:eastAsia="方正仿宋_GBK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  <w:t>2025年8月</w:t>
      </w:r>
      <w:r>
        <w:rPr>
          <w:rFonts w:hint="eastAsia" w:ascii="Times New Roman" w:eastAsia="方正仿宋_GBK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eastAsia="方正仿宋_GBK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Times New Roman" w:hAnsi="Times New Roman" w:eastAsia="方正黑体_GBK" w:cs="方正黑体_GBK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kern w:val="2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textAlignment w:val="auto"/>
        <w:rPr>
          <w:rFonts w:hint="eastAsia" w:ascii="Times New Roman" w:hAnsi="Times New Roman" w:cs="方正仿宋_GBK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废止的行政规范性文件目录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Times New Roman" w:hAnsi="Times New Roman" w:eastAsia="方正楷体_GBK" w:cs="方正楷体_GBK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kern w:val="2"/>
          <w14:textFill>
            <w14:solidFill>
              <w14:schemeClr w14:val="tx1"/>
            </w14:solidFill>
          </w14:textFill>
        </w:rPr>
        <w:t>（共</w:t>
      </w:r>
      <w:r>
        <w:rPr>
          <w:rFonts w:eastAsia="方正楷体_GBK"/>
          <w:color w:val="000000" w:themeColor="text1"/>
          <w:kern w:val="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方正楷体_GBK" w:cs="方正楷体_GBK"/>
          <w:color w:val="000000" w:themeColor="text1"/>
          <w:kern w:val="2"/>
          <w14:textFill>
            <w14:solidFill>
              <w14:schemeClr w14:val="tx1"/>
            </w14:solidFill>
          </w14:textFill>
        </w:rPr>
        <w:t>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 w:ascii="Times New Roman" w:hAnsi="Times New Roman" w:cs="方正仿宋_GBK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 w:ascii="Times New Roman" w:hAnsi="Times New Roman" w:cs="方正仿宋_GBK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_GBK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方正仿宋_GBK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重庆市发展和改革委员会 重庆市经济和信息化委员会 重庆市财政局 重庆市商务委员会关于印发《支持企业高质量发展若干政策措施》的通知（渝发改体改〔</w:t>
      </w:r>
      <w:r>
        <w:rPr>
          <w:color w:val="000000" w:themeColor="text1"/>
          <w:kern w:val="2"/>
          <w14:textFill>
            <w14:solidFill>
              <w14:schemeClr w14:val="tx1"/>
            </w14:solidFill>
          </w14:textFill>
        </w:rPr>
        <w:t>2024〕17</w:t>
      </w:r>
      <w:r>
        <w:rPr>
          <w:rFonts w:hint="eastAsia" w:ascii="Times New Roman" w:hAnsi="Times New Roman" w:cs="方正仿宋_GBK"/>
          <w:color w:val="000000" w:themeColor="text1"/>
          <w:kern w:val="2"/>
          <w14:textFill>
            <w14:solidFill>
              <w14:schemeClr w14:val="tx1"/>
            </w14:solidFill>
          </w14:textFill>
        </w:rPr>
        <w:t>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_GBK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重庆市发展和改革委员会关于印发《关于恢复和扩大消费的若干措施》的通知（渝发改规范〔2023〕12号）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方正仿宋_GBK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重庆市发展和改革委员会关于落实中小微企业、个体工商户水电气费支持政策的通知（渝发改规范〔2022〕9号）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方正仿宋_GBK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重庆市发展和改革委员会等8部门关于印发《促进消费恢复发展若干政策措施》的通知（渝发改政研〔2022〕463号）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方正仿宋_GBK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重庆市发展和改革委员会印发《关于建立健全企业家参与涉企政策制定机制的实施方案》的通知（渝发改体〔2020〕43号）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方正仿宋_GBK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重庆市发展和改革委员会关于印发《重庆市发展和改革委员会服务民营经济若干工作措施》的通知（渝发改体〔2018〕1649号）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方正仿宋_GBK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重庆市发展和改革委员会 重庆市国土资源和房屋管理局重庆市财政局关于印发《三峡工程重庆库区地质灾害治理工程投资概算编制要求》的通知（渝发改地〔2016〕1188号）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方正仿宋_GBK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重庆市发展和改革委员会关于印发《重庆市工业企业碳排放核算报告和核查细则（试行）》的通知（渝发改环〔2014〕542号）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9</w:t>
      </w:r>
      <w:r>
        <w:rPr>
          <w:rFonts w:hint="eastAsia" w:eastAsia="方正仿宋_GBK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重庆市发展和改革委员会关于印发《重庆市碳排放配额管理细则（试行）》的通知（渝发改环〔2014〕538号）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10</w:t>
      </w:r>
      <w:r>
        <w:rPr>
          <w:rFonts w:hint="eastAsia" w:eastAsia="方正仿宋_GBK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重庆市发展和改革委员会</w:t>
      </w:r>
      <w:r>
        <w:rPr>
          <w:rFonts w:hint="eastAsia" w:ascii="Times New Roman" w:eastAsia="方正仿宋_GBK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重庆市财政局</w:t>
      </w:r>
      <w:r>
        <w:rPr>
          <w:rFonts w:hint="eastAsia" w:ascii="Times New Roman" w:eastAsia="方正仿宋_GBK"/>
          <w:color w:val="000000" w:themeColor="text1"/>
          <w:kern w:val="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重庆市移民局关于印发《重庆市三峡后续工程建设项目全过程投资控制管理暂行办法》的通知（渝发改地〔2014〕368号）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11</w:t>
      </w:r>
      <w:r>
        <w:rPr>
          <w:rFonts w:hint="eastAsia" w:eastAsia="方正仿宋_GBK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kern w:val="2"/>
          <w14:textFill>
            <w14:solidFill>
              <w14:schemeClr w14:val="tx1"/>
            </w14:solidFill>
          </w14:textFill>
        </w:rPr>
        <w:t>重庆市物价局关于印发《重庆市农产品成本调查工作考核评比办法》的通知（渝价〔2013〕254号）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textAlignment w:val="auto"/>
        <w:rPr>
          <w:rFonts w:hint="eastAsia" w:ascii="Times New Roman" w:hAnsi="Times New Roman" w:cs="方正仿宋_GBK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</w:p>
    <w:p>
      <w:pPr>
        <w:adjustRightInd/>
        <w:spacing w:before="0" w:after="0"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/>
        <w:spacing w:before="0" w:after="0"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/>
        <w:spacing w:before="0" w:after="0"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/>
        <w:spacing w:before="0" w:after="0"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/>
        <w:spacing w:before="0" w:after="0"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/>
        <w:spacing w:before="0" w:after="0"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/>
        <w:spacing w:before="0" w:after="0"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/>
        <w:spacing w:before="0" w:after="0" w:line="240" w:lineRule="auto"/>
        <w:rPr>
          <w:color w:val="auto"/>
        </w:rPr>
      </w:pPr>
    </w:p>
    <w:p/>
    <w:p/>
    <w:p/>
    <w:p/>
    <w:p/>
    <w:p/>
    <w:p/>
    <w:p/>
    <w:p/>
    <w:p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auto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auto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>
      <w:pPr>
        <w:adjustRightInd/>
        <w:spacing w:before="0" w:after="0" w:line="240" w:lineRule="auto"/>
        <w:rPr>
          <w:color w:val="auto"/>
        </w:rPr>
      </w:pPr>
    </w:p>
    <w:p>
      <w:pPr>
        <w:adjustRightIn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kern w:val="0"/>
        </w:rPr>
      </w:pPr>
    </w:p>
    <w:p>
      <w:pPr>
        <w:overflowPunct/>
        <w:adjustRightInd/>
        <w:spacing w:line="240" w:lineRule="auto"/>
        <w:ind w:firstLine="276" w:firstLineChars="100"/>
        <w:rPr>
          <w:rFonts w:hint="default" w:cs="Times New Roman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5627370" cy="15240"/>
                <wp:effectExtent l="0" t="4445" r="11430" b="889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7370" cy="15240"/>
                        </a:xfrm>
                        <a:prstGeom prst="line">
                          <a:avLst/>
                        </a:prstGeom>
                        <a:noFill/>
                        <a:ln w="444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0pt;height:1.2pt;width:443.1pt;z-index:251660288;mso-width-relative:page;mso-height-relative:page;" filled="f" stroked="t" coordsize="21600,21600" o:gfxdata="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naDAH1AAAAAQBAAAP&#10;AAAAAAAAAAEAIAAAACIAAABkcnMvZG93bnJldi54bWxQSwECFAAUAAAACACHTuJAQ3jnlOMBAACu&#10;AwAADgAAAAAAAAABACAAAAAjAQAAZHJzL2Uyb0RvYy54bWxQSwUGAAAAAAYABgBZAQAAeA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367665</wp:posOffset>
                </wp:positionV>
                <wp:extent cx="5627370" cy="15240"/>
                <wp:effectExtent l="0" t="4445" r="11430" b="889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2185" y="4633595"/>
                          <a:ext cx="5627370" cy="15240"/>
                        </a:xfrm>
                        <a:prstGeom prst="line">
                          <a:avLst/>
                        </a:prstGeom>
                        <a:noFill/>
                        <a:ln w="444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28.95pt;height:1.2pt;width:443.1pt;z-index:251659264;mso-width-relative:page;mso-height-relative:page;" filled="f" stroked="t" coordsize="21600,21600" o:gfxdata="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wi8aPXAAAABgEAAA8AAAAAAAAAAQAgAAAAIgAAAGRycy9kb3ducmV2LnhtbFBLAQIUABQA&#10;AAAIAIdO4kAlLdra8QEAALkDAAAOAAAAAAAAAAEAIAAAACYBAABkcnMvZTJvRG9jLnhtbFBLBQYA&#10;AAAABgAGAFkBAACJ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重庆市发展和改革委员会办公室</w:t>
      </w: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宋体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2025年</w:t>
      </w:r>
      <w:r>
        <w:rPr>
          <w:rFonts w:hint="eastAsia" w:ascii="Times New Roman" w:hAnsi="Times New Roman" w:eastAsia="宋体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日印发  </w:t>
      </w:r>
    </w:p>
    <w:sectPr>
      <w:headerReference r:id="rId5" w:type="default"/>
      <w:footerReference r:id="rId6" w:type="default"/>
      <w:pgSz w:w="11906" w:h="16838"/>
      <w:pgMar w:top="2098" w:right="1531" w:bottom="1984" w:left="1531" w:header="851" w:footer="1417" w:gutter="0"/>
      <w:pgNumType w:fmt="decimal"/>
      <w:cols w:space="720" w:num="1"/>
      <w:rtlGutter w:val="0"/>
      <w:docGrid w:type="linesAndChars" w:linePitch="58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overflowPunct w:val="0"/>
      <w:adjustRightInd/>
      <w:snapToGrid/>
      <w:ind w:left="0" w:leftChars="0" w:firstLine="0" w:firstLineChars="0"/>
      <w:jc w:val="both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rS2wFzwEAAKk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jc w:val="right"/>
      <w:rPr>
        <w:rFonts w:hint="eastAsia"/>
        <w:color w:val="FAFAFA"/>
        <w:sz w:val="28"/>
        <w:szCs w:val="28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5940" cy="1905"/>
              <wp:effectExtent l="0" t="10795" r="3810" b="15875"/>
              <wp:wrapNone/>
              <wp:docPr id="15" name="直接连接符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2791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38" o:spid="_x0000_s1026" o:spt="20" style="position:absolute;left:0pt;margin-left:0pt;margin-top:5.85pt;height:0.15pt;width:442.2pt;z-index:251661312;mso-width-relative:page;mso-height-relative:page;" filled="f" stroked="t" coordsize="21600,21600" o:gfxdata="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K8&#10;Kb/TAAAABgEAAA8AAAAAAAAAAQAgAAAAIgAAAGRycy9kb3ducmV2LnhtbFBLAQIUABQAAAAIAIdO&#10;4kBnwpdD7wEAAMYDAAAOAAAAAAAAAAEAIAAAACIBAABkcnMvZTJvRG9jLnhtbFBLBQYAAAAABgAG&#10;AFkBAACDBQAAAAA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widowControl w:val="0"/>
      <w:overflowPunct w:val="0"/>
      <w:adjustRightInd/>
      <w:snapToGrid/>
      <w:spacing w:after="0" w:line="240" w:lineRule="auto"/>
      <w:ind w:left="0" w:leftChars="0" w:firstLine="4498" w:firstLineChars="1600"/>
      <w:jc w:val="both"/>
      <w:textAlignment w:val="baseline"/>
      <w:rPr>
        <w:rFonts w:hint="default"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重庆市发展和改革委员会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adjustRightInd/>
      <w:textAlignment w:val="center"/>
      <w:rPr>
        <w:rFonts w:hint="eastAsia" w:ascii="方正仿宋_GBK" w:hAnsi="方正仿宋_GBK" w:cs="方正仿宋_GBK"/>
        <w:b/>
        <w:bCs/>
        <w:color w:val="000000"/>
        <w:sz w:val="32"/>
      </w:rPr>
    </w:pPr>
    <w:r>
      <w:rPr>
        <w:rFonts w:hint="eastAsia" w:ascii="方正仿宋_GBK" w:hAnsi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15940" cy="0"/>
              <wp:effectExtent l="0" t="10795" r="3810" b="17780"/>
              <wp:wrapNone/>
              <wp:docPr id="12" name="直接连接符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1252791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35" o:spid="_x0000_s1026" o:spt="20" style="position:absolute;left:0pt;margin-left:0pt;margin-top:54.35pt;height:0pt;width:442.2pt;z-index:251660288;mso-width-relative:page;mso-height-relative:page;" filled="f" stroked="t" coordsize="21600,21600" o:gfxdata="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6wYHI1AAAAAgBAAAPAAAAAAAAAAEAIAAAACIAAABkcnMvZG93bnJldi54bWxQ&#10;SwECFAAUAAAACACHTuJAWx6OVfsBAADOAwAADgAAAAAAAAABACAAAAAjAQAAZHJzL2Uyb0RvYy54&#10;bWxQSwUGAAAAAAYABgBZAQAAk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0"/>
      <w:adjustRightInd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6" name="图片 7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图片 7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重庆市发展和改革委员会</w:t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行政规范性文件</w:t>
    </w:r>
  </w:p>
  <w:p>
    <w:pPr>
      <w:widowControl w:val="0"/>
      <w:pBdr>
        <w:bottom w:val="none" w:color="auto" w:sz="0" w:space="0"/>
      </w:pBdr>
      <w:adjustRightInd w:val="0"/>
      <w:snapToGrid w:val="0"/>
      <w:spacing w:after="160" w:line="312" w:lineRule="atLeast"/>
      <w:jc w:val="both"/>
      <w:textAlignment w:val="baseline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58"/>
  <w:drawingGridVerticalSpacing w:val="290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MjI0Mzc2ZjIyZjY1YWY5MGM1NmE2ZGQxZTliNWMifQ=="/>
  </w:docVars>
  <w:rsids>
    <w:rsidRoot w:val="00172A27"/>
    <w:rsid w:val="006004F6"/>
    <w:rsid w:val="00FF28FF"/>
    <w:rsid w:val="018038CE"/>
    <w:rsid w:val="019E71BD"/>
    <w:rsid w:val="01C066B5"/>
    <w:rsid w:val="035F6E36"/>
    <w:rsid w:val="041C42DA"/>
    <w:rsid w:val="04B679C3"/>
    <w:rsid w:val="057416C2"/>
    <w:rsid w:val="05964A65"/>
    <w:rsid w:val="05F07036"/>
    <w:rsid w:val="064E7294"/>
    <w:rsid w:val="06E00104"/>
    <w:rsid w:val="07AC7F00"/>
    <w:rsid w:val="080F63D8"/>
    <w:rsid w:val="09341458"/>
    <w:rsid w:val="098254C2"/>
    <w:rsid w:val="0A766EDE"/>
    <w:rsid w:val="0AD64BE8"/>
    <w:rsid w:val="0B0912D7"/>
    <w:rsid w:val="0D6E5E17"/>
    <w:rsid w:val="0DA472A8"/>
    <w:rsid w:val="0E025194"/>
    <w:rsid w:val="0E46660E"/>
    <w:rsid w:val="0E6D4BB0"/>
    <w:rsid w:val="0FEA2F87"/>
    <w:rsid w:val="11C5254F"/>
    <w:rsid w:val="152D2DCA"/>
    <w:rsid w:val="15D5325E"/>
    <w:rsid w:val="16593889"/>
    <w:rsid w:val="16D31800"/>
    <w:rsid w:val="16DA5F29"/>
    <w:rsid w:val="17130662"/>
    <w:rsid w:val="187168EA"/>
    <w:rsid w:val="196673CA"/>
    <w:rsid w:val="1ADB7A63"/>
    <w:rsid w:val="1B2F4AEE"/>
    <w:rsid w:val="1BF51C2F"/>
    <w:rsid w:val="1CF734C9"/>
    <w:rsid w:val="1DEC284C"/>
    <w:rsid w:val="1E6523AC"/>
    <w:rsid w:val="1E956E67"/>
    <w:rsid w:val="1ED033E5"/>
    <w:rsid w:val="20A36C18"/>
    <w:rsid w:val="22440422"/>
    <w:rsid w:val="2297614E"/>
    <w:rsid w:val="22BB4BBB"/>
    <w:rsid w:val="22C27ADF"/>
    <w:rsid w:val="25DE7970"/>
    <w:rsid w:val="297365BB"/>
    <w:rsid w:val="29B178ED"/>
    <w:rsid w:val="29BD145D"/>
    <w:rsid w:val="2AEB3417"/>
    <w:rsid w:val="2B680A29"/>
    <w:rsid w:val="2C3A56F8"/>
    <w:rsid w:val="2D502E74"/>
    <w:rsid w:val="2DCC28F7"/>
    <w:rsid w:val="2EFC19D5"/>
    <w:rsid w:val="2F397D25"/>
    <w:rsid w:val="2F541F27"/>
    <w:rsid w:val="2FD66B2C"/>
    <w:rsid w:val="30A626AA"/>
    <w:rsid w:val="31A15F24"/>
    <w:rsid w:val="324A1681"/>
    <w:rsid w:val="34F12209"/>
    <w:rsid w:val="34FD541C"/>
    <w:rsid w:val="36FB1DF0"/>
    <w:rsid w:val="37A7012D"/>
    <w:rsid w:val="383E69ED"/>
    <w:rsid w:val="395347B5"/>
    <w:rsid w:val="39A232A0"/>
    <w:rsid w:val="39E745AA"/>
    <w:rsid w:val="3A9F4843"/>
    <w:rsid w:val="3B5A6BBB"/>
    <w:rsid w:val="3C1949F5"/>
    <w:rsid w:val="3C290571"/>
    <w:rsid w:val="3D437488"/>
    <w:rsid w:val="3D6A2620"/>
    <w:rsid w:val="3E2E249C"/>
    <w:rsid w:val="3EDA13A6"/>
    <w:rsid w:val="40EE539A"/>
    <w:rsid w:val="417B75E9"/>
    <w:rsid w:val="42F058B7"/>
    <w:rsid w:val="436109F6"/>
    <w:rsid w:val="441A38D4"/>
    <w:rsid w:val="4504239D"/>
    <w:rsid w:val="46FF2A7C"/>
    <w:rsid w:val="471F364A"/>
    <w:rsid w:val="4A1505F1"/>
    <w:rsid w:val="4AD86038"/>
    <w:rsid w:val="4BC77339"/>
    <w:rsid w:val="4BF22B1F"/>
    <w:rsid w:val="4C5C0629"/>
    <w:rsid w:val="4C9236C5"/>
    <w:rsid w:val="4E250A85"/>
    <w:rsid w:val="4E464D75"/>
    <w:rsid w:val="4E897B30"/>
    <w:rsid w:val="4ECF272A"/>
    <w:rsid w:val="4F442AF1"/>
    <w:rsid w:val="4F551E0D"/>
    <w:rsid w:val="4FFD4925"/>
    <w:rsid w:val="505C172E"/>
    <w:rsid w:val="506405EA"/>
    <w:rsid w:val="51544F64"/>
    <w:rsid w:val="51583969"/>
    <w:rsid w:val="52A665A4"/>
    <w:rsid w:val="52F46F0B"/>
    <w:rsid w:val="532B6A10"/>
    <w:rsid w:val="53D8014D"/>
    <w:rsid w:val="55003B4B"/>
    <w:rsid w:val="55B27C89"/>
    <w:rsid w:val="55E064E0"/>
    <w:rsid w:val="5648259F"/>
    <w:rsid w:val="56C2396B"/>
    <w:rsid w:val="572C6D10"/>
    <w:rsid w:val="57732A03"/>
    <w:rsid w:val="579F129B"/>
    <w:rsid w:val="5B124A86"/>
    <w:rsid w:val="5BA242F4"/>
    <w:rsid w:val="5C7C10DB"/>
    <w:rsid w:val="5DC34279"/>
    <w:rsid w:val="5E520039"/>
    <w:rsid w:val="5E8A52F7"/>
    <w:rsid w:val="5FCD688E"/>
    <w:rsid w:val="5FF9BDAA"/>
    <w:rsid w:val="5FFE5333"/>
    <w:rsid w:val="608816D1"/>
    <w:rsid w:val="60EF4E7F"/>
    <w:rsid w:val="646A6756"/>
    <w:rsid w:val="648B0A32"/>
    <w:rsid w:val="64ED51E3"/>
    <w:rsid w:val="665233C1"/>
    <w:rsid w:val="69AC0D42"/>
    <w:rsid w:val="6A817394"/>
    <w:rsid w:val="6AD9688B"/>
    <w:rsid w:val="6BC66237"/>
    <w:rsid w:val="6C8D5649"/>
    <w:rsid w:val="6CF37A79"/>
    <w:rsid w:val="6D0E3F22"/>
    <w:rsid w:val="744E4660"/>
    <w:rsid w:val="74776C27"/>
    <w:rsid w:val="753355A2"/>
    <w:rsid w:val="75854E0E"/>
    <w:rsid w:val="758D227B"/>
    <w:rsid w:val="759F1C61"/>
    <w:rsid w:val="769F2DE8"/>
    <w:rsid w:val="76FDEB7C"/>
    <w:rsid w:val="79812449"/>
    <w:rsid w:val="79C65162"/>
    <w:rsid w:val="7AE32C79"/>
    <w:rsid w:val="7BB71922"/>
    <w:rsid w:val="7C572CA5"/>
    <w:rsid w:val="7C9011D9"/>
    <w:rsid w:val="7CCB792A"/>
    <w:rsid w:val="7DC651C5"/>
    <w:rsid w:val="7DF350ED"/>
    <w:rsid w:val="7E725FF8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Lines="0" w:afterAutospacing="0"/>
    </w:pPr>
  </w:style>
  <w:style w:type="paragraph" w:styleId="6">
    <w:name w:val="Body Text 2"/>
    <w:basedOn w:val="1"/>
    <w:qFormat/>
    <w:uiPriority w:val="0"/>
    <w:pPr>
      <w:adjustRightInd/>
      <w:spacing w:before="60" w:after="60" w:line="240" w:lineRule="auto"/>
      <w:textAlignment w:val="auto"/>
    </w:pPr>
    <w:rPr>
      <w:rFonts w:ascii="Arial" w:hAnsi="Arial" w:eastAsia="仿宋_GB2312"/>
      <w:spacing w:val="-5"/>
      <w:kern w:val="2"/>
      <w:lang w:val="zh-CN" w:eastAsia="en-US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next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qFormat/>
    <w:uiPriority w:val="0"/>
    <w:pPr>
      <w:ind w:firstLine="420" w:firstLineChars="100"/>
    </w:pPr>
  </w:style>
  <w:style w:type="paragraph" w:styleId="13">
    <w:name w:val="Body Text First Indent 2"/>
    <w:basedOn w:val="7"/>
    <w:next w:val="12"/>
    <w:qFormat/>
    <w:uiPriority w:val="0"/>
    <w:pPr>
      <w:ind w:firstLine="420" w:firstLineChars="200"/>
    </w:p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批注框文本 Char"/>
    <w:basedOn w:val="16"/>
    <w:link w:val="8"/>
    <w:qFormat/>
    <w:uiPriority w:val="0"/>
    <w:rPr>
      <w:rFonts w:eastAsia="方正仿宋_GBK"/>
      <w:sz w:val="18"/>
      <w:szCs w:val="18"/>
    </w:rPr>
  </w:style>
  <w:style w:type="paragraph" w:customStyle="1" w:styleId="20">
    <w:name w:val="Body text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1">
    <w:name w:val="方正仿宋"/>
    <w:basedOn w:val="1"/>
    <w:qFormat/>
    <w:uiPriority w:val="0"/>
    <w:pPr>
      <w:adjustRightInd/>
      <w:spacing w:line="240" w:lineRule="auto"/>
      <w:ind w:firstLine="6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3">
    <w:name w:val="正文首缩两字 Char"/>
    <w:basedOn w:val="1"/>
    <w:qFormat/>
    <w:uiPriority w:val="99"/>
    <w:rPr>
      <w:rFonts w:ascii="Verdana" w:hAnsi="Verdana"/>
      <w:bCs/>
    </w:rPr>
  </w:style>
  <w:style w:type="paragraph" w:customStyle="1" w:styleId="24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Times New Roman" w:cs="Times New Roman"/>
      <w:snapToGrid w:val="0"/>
      <w:color w:val="000000"/>
      <w:kern w:val="0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627</Words>
  <Characters>3574</Characters>
  <Lines>29</Lines>
  <Paragraphs>8</Paragraphs>
  <TotalTime>1</TotalTime>
  <ScaleCrop>false</ScaleCrop>
  <LinksUpToDate>false</LinksUpToDate>
  <CharactersWithSpaces>4193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王宗瑄</cp:lastModifiedBy>
  <cp:lastPrinted>2022-05-12T00:46:00Z</cp:lastPrinted>
  <dcterms:modified xsi:type="dcterms:W3CDTF">2025-08-26T09:03:48Z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2E5BAA7446814925BA1051E306CA53B9</vt:lpwstr>
  </property>
</Properties>
</file>