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600" w:lineRule="atLeast"/>
        <w:jc w:val="center"/>
        <w:rPr>
          <w:rFonts w:hint="eastAsia" w:ascii="Times New Roman" w:hAnsi="Times New Roman" w:cs="方正仿宋_GBK"/>
          <w:bCs w:val="0"/>
          <w:kern w:val="2"/>
          <w:sz w:val="32"/>
          <w:szCs w:val="32"/>
        </w:rPr>
      </w:pPr>
    </w:p>
    <w:p>
      <w:pPr>
        <w:overflowPunct/>
        <w:adjustRightInd/>
        <w:spacing w:before="0" w:after="0" w:line="600" w:lineRule="atLeast"/>
        <w:jc w:val="center"/>
        <w:textAlignment w:val="auto"/>
        <w:rPr>
          <w:rFonts w:hint="eastAsia" w:ascii="Times New Roman" w:hAnsi="Times New Roman" w:cs="方正仿宋_GBK"/>
          <w:color w:val="auto"/>
          <w:kern w:val="2"/>
          <w:sz w:val="32"/>
          <w:szCs w:val="32"/>
        </w:rPr>
      </w:pP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/>
              <w:spacing w:line="580" w:lineRule="exact"/>
              <w:jc w:val="distribute"/>
              <w:rPr>
                <w:rFonts w:hint="default" w:ascii="Times New Roman" w:hAnsi="Times New Roman" w:eastAsia="方正小标宋_GBK" w:cs="方正小标宋_GBK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小标宋_GBK" w:cs="方正小标宋_GBK"/>
                <w:bCs/>
                <w:kern w:val="2"/>
                <w:sz w:val="44"/>
                <w:szCs w:val="44"/>
              </w:rPr>
              <w:t>重庆市发展和改革委员会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/>
              <w:spacing w:line="580" w:lineRule="exact"/>
              <w:jc w:val="distribute"/>
              <w:rPr>
                <w:rFonts w:hint="default" w:ascii="Times New Roman" w:hAnsi="Times New Roman" w:eastAsia="方正小标宋_GBK" w:cs="方正小标宋_GBK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小标宋_GBK" w:cs="方正小标宋_GBK"/>
                <w:bCs/>
                <w:kern w:val="2"/>
                <w:sz w:val="44"/>
                <w:szCs w:val="44"/>
              </w:rPr>
              <w:t>重庆市经济和信息化委员会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/>
              <w:spacing w:line="580" w:lineRule="exact"/>
              <w:jc w:val="distribute"/>
              <w:rPr>
                <w:rFonts w:hint="default" w:ascii="Times New Roman" w:hAnsi="Times New Roman" w:eastAsia="方正小标宋_GBK" w:cs="方正小标宋_GBK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小标宋_GBK" w:cs="方正小标宋_GBK"/>
                <w:bCs/>
                <w:kern w:val="2"/>
                <w:sz w:val="44"/>
                <w:szCs w:val="44"/>
              </w:rPr>
              <w:t>重庆市民政局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/>
              <w:spacing w:line="580" w:lineRule="exact"/>
              <w:jc w:val="distribute"/>
              <w:rPr>
                <w:rFonts w:hint="default" w:ascii="Times New Roman" w:hAnsi="Times New Roman" w:eastAsia="方正小标宋_GBK" w:cs="方正小标宋_GBK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小标宋_GBK" w:cs="方正小标宋_GBK"/>
                <w:bCs/>
                <w:kern w:val="2"/>
                <w:sz w:val="44"/>
                <w:szCs w:val="44"/>
              </w:rPr>
              <w:t>重庆市文化和旅游发展委员会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/>
              <w:spacing w:line="580" w:lineRule="exact"/>
              <w:jc w:val="distribute"/>
              <w:rPr>
                <w:rFonts w:hint="default" w:ascii="Times New Roman" w:hAnsi="Times New Roman" w:eastAsia="方正小标宋_GBK" w:cs="方正小标宋_GBK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小标宋_GBK" w:cs="方正小标宋_GBK"/>
                <w:bCs/>
                <w:kern w:val="2"/>
                <w:sz w:val="44"/>
                <w:szCs w:val="44"/>
                <w:lang w:eastAsia="zh-CN"/>
              </w:rPr>
              <w:t>重庆</w:t>
            </w:r>
            <w:r>
              <w:rPr>
                <w:rFonts w:hint="eastAsia" w:ascii="Times New Roman" w:hAnsi="Times New Roman" w:eastAsia="方正小标宋_GBK" w:cs="方正小标宋_GBK"/>
                <w:bCs/>
                <w:kern w:val="2"/>
                <w:sz w:val="44"/>
                <w:szCs w:val="44"/>
              </w:rPr>
              <w:t>市卫生健康委员会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方正小标宋_GBK"/>
          <w:bCs/>
          <w:kern w:val="2"/>
          <w:sz w:val="44"/>
          <w:szCs w:val="44"/>
        </w:rPr>
        <w:t>关于印发《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bidi="ar"/>
        </w:rPr>
        <w:t>重庆市促进银发经济发展增进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Cs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bidi="ar"/>
        </w:rPr>
        <w:t>老年人福祉工作实施方案</w:t>
      </w:r>
      <w:r>
        <w:rPr>
          <w:rFonts w:hint="eastAsia" w:ascii="Times New Roman" w:hAnsi="Times New Roman" w:eastAsia="方正小标宋_GBK" w:cs="方正小标宋_GBK"/>
          <w:bCs/>
          <w:kern w:val="2"/>
          <w:sz w:val="44"/>
          <w:szCs w:val="44"/>
        </w:rPr>
        <w:t>》的通知</w:t>
      </w:r>
    </w:p>
    <w:p>
      <w:pPr>
        <w:adjustRightInd/>
        <w:spacing w:line="540" w:lineRule="exact"/>
        <w:jc w:val="center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渝发改规范〔202</w:t>
      </w:r>
      <w:r>
        <w:rPr>
          <w:rFonts w:hint="eastAsia" w:ascii="Times New Roman" w:hAnsi="Times New Roman" w:cs="方正仿宋_GBK"/>
          <w:kern w:val="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〕</w:t>
      </w:r>
      <w:r>
        <w:rPr>
          <w:rFonts w:hint="eastAsia" w:ascii="Times New Roman" w:hAnsi="Times New Roman" w:cs="方正仿宋_GBK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号</w:t>
      </w:r>
    </w:p>
    <w:p>
      <w:pPr>
        <w:overflowPunct/>
        <w:adjustRightInd/>
        <w:spacing w:before="0" w:after="0" w:line="600" w:lineRule="atLeast"/>
        <w:jc w:val="center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eastAsia" w:ascii="Times New Roman" w:hAnsi="Times New Roman" w:cs="方正仿宋_GBK"/>
          <w:bCs/>
          <w:kern w:val="2"/>
          <w:szCs w:val="32"/>
        </w:rPr>
      </w:pPr>
      <w:r>
        <w:rPr>
          <w:rFonts w:hint="eastAsia" w:ascii="Times New Roman" w:hAnsi="Times New Roman" w:cs="方正仿宋_GBK"/>
          <w:bCs/>
          <w:kern w:val="2"/>
          <w:szCs w:val="32"/>
        </w:rPr>
        <w:t>各区县（自治县）人民政府，</w:t>
      </w:r>
      <w:r>
        <w:rPr>
          <w:rFonts w:ascii="Times New Roman" w:hAnsi="Times New Roman" w:cs="方正仿宋_GBK"/>
          <w:bCs/>
          <w:kern w:val="2"/>
          <w:szCs w:val="32"/>
        </w:rPr>
        <w:t>两江新区管委会、西部科学城重庆高新区管委会、万盛经开区管委会，</w:t>
      </w:r>
      <w:r>
        <w:rPr>
          <w:rFonts w:hint="eastAsia" w:ascii="Times New Roman" w:hAnsi="Times New Roman" w:cs="方正仿宋_GBK"/>
          <w:bCs/>
          <w:kern w:val="2"/>
          <w:szCs w:val="32"/>
        </w:rPr>
        <w:t>市级相关部门，有关单位：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hint="eastAsia" w:ascii="Times New Roman" w:hAnsi="Times New Roman" w:cs="方正仿宋_GBK"/>
          <w:bCs/>
          <w:spacing w:val="-6"/>
          <w:kern w:val="2"/>
          <w:szCs w:val="32"/>
        </w:rPr>
      </w:pPr>
      <w:r>
        <w:rPr>
          <w:rFonts w:ascii="Times New Roman" w:hAnsi="Times New Roman"/>
          <w:szCs w:val="32"/>
        </w:rPr>
        <w:t>《</w:t>
      </w:r>
      <w:r>
        <w:rPr>
          <w:rFonts w:hint="eastAsia" w:ascii="Times New Roman" w:hAnsi="Times New Roman"/>
          <w:szCs w:val="32"/>
        </w:rPr>
        <w:t>重庆市促进银发经济发展增进老年人福祉工作实施方案</w:t>
      </w:r>
      <w:r>
        <w:rPr>
          <w:rFonts w:ascii="Times New Roman" w:hAnsi="Times New Roman"/>
          <w:szCs w:val="32"/>
        </w:rPr>
        <w:t>》已</w:t>
      </w:r>
      <w:r>
        <w:rPr>
          <w:rFonts w:hint="eastAsia" w:ascii="Times New Roman" w:hAnsi="Times New Roman" w:cs="方正仿宋_GBK"/>
          <w:bCs/>
          <w:spacing w:val="-6"/>
          <w:kern w:val="2"/>
          <w:szCs w:val="32"/>
        </w:rPr>
        <w:t>经市政府同意，现印发</w:t>
      </w:r>
      <w:r>
        <w:rPr>
          <w:rFonts w:ascii="Times New Roman" w:hAnsi="Times New Roman" w:cs="方正仿宋_GBK"/>
          <w:bCs/>
          <w:spacing w:val="-6"/>
          <w:kern w:val="2"/>
          <w:szCs w:val="32"/>
        </w:rPr>
        <w:t>给你们</w:t>
      </w:r>
      <w:r>
        <w:rPr>
          <w:rFonts w:hint="eastAsia" w:ascii="Times New Roman" w:hAnsi="Times New Roman" w:cs="方正仿宋_GBK"/>
          <w:bCs/>
          <w:spacing w:val="-6"/>
          <w:kern w:val="2"/>
          <w:szCs w:val="32"/>
        </w:rPr>
        <w:t>，请认真贯彻执行。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Times New Roman" w:hAnsi="Times New Roman" w:cs="方正仿宋_GBK"/>
          <w:bCs/>
          <w:kern w:val="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Times New Roman" w:hAnsi="Times New Roman" w:cs="方正仿宋_GBK"/>
          <w:bCs/>
          <w:kern w:val="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Times New Roman" w:hAnsi="Times New Roman" w:cs="方正仿宋_GBK"/>
          <w:bCs/>
          <w:kern w:val="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Times New Roman" w:hAnsi="Times New Roman" w:cs="方正仿宋_GBK"/>
          <w:bCs/>
          <w:kern w:val="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316" w:firstLineChars="100"/>
        <w:jc w:val="left"/>
        <w:textAlignment w:val="auto"/>
        <w:rPr>
          <w:rFonts w:hint="eastAsia" w:ascii="Times New Roman" w:hAnsi="Times New Roman" w:cs="方正仿宋_GBK"/>
          <w:bCs/>
          <w:kern w:val="2"/>
          <w:szCs w:val="32"/>
        </w:rPr>
      </w:pPr>
      <w:r>
        <w:rPr>
          <w:rFonts w:hint="eastAsia" w:ascii="Times New Roman" w:hAnsi="Times New Roman" w:cs="方正仿宋_GBK"/>
          <w:bCs/>
          <w:kern w:val="2"/>
          <w:szCs w:val="32"/>
        </w:rPr>
        <w:t>重庆市发展和改革委员会       重庆市经济和信息化委员会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left"/>
        <w:textAlignment w:val="auto"/>
        <w:rPr>
          <w:rFonts w:hint="eastAsia" w:ascii="Times New Roman" w:hAnsi="Times New Roman" w:cs="方正仿宋_GBK"/>
          <w:bCs/>
          <w:kern w:val="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left"/>
        <w:textAlignment w:val="auto"/>
        <w:rPr>
          <w:rFonts w:hint="eastAsia" w:ascii="Times New Roman" w:hAnsi="Times New Roman" w:cs="方正仿宋_GBK"/>
          <w:bCs/>
          <w:kern w:val="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left"/>
        <w:textAlignment w:val="auto"/>
        <w:rPr>
          <w:rFonts w:hint="eastAsia" w:ascii="Times New Roman" w:hAnsi="Times New Roman" w:cs="方正仿宋_GBK"/>
          <w:bCs/>
          <w:kern w:val="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left"/>
        <w:textAlignment w:val="auto"/>
        <w:rPr>
          <w:rFonts w:hint="eastAsia" w:ascii="Times New Roman" w:hAnsi="Times New Roman" w:cs="方正仿宋_GBK"/>
          <w:bCs/>
          <w:kern w:val="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316" w:firstLineChars="100"/>
        <w:jc w:val="left"/>
        <w:textAlignment w:val="auto"/>
        <w:rPr>
          <w:rFonts w:hint="eastAsia" w:ascii="Times New Roman" w:hAnsi="Times New Roman" w:cs="方正仿宋_GBK"/>
          <w:bCs/>
          <w:kern w:val="2"/>
          <w:szCs w:val="32"/>
        </w:rPr>
      </w:pPr>
      <w:r>
        <w:rPr>
          <w:rFonts w:hint="eastAsia" w:ascii="Times New Roman" w:hAnsi="Times New Roman" w:cs="方正仿宋_GBK"/>
          <w:bCs/>
          <w:kern w:val="2"/>
          <w:szCs w:val="32"/>
        </w:rPr>
        <w:t xml:space="preserve">重庆市民政局          </w:t>
      </w:r>
      <w:r>
        <w:rPr>
          <w:rFonts w:hint="eastAsia" w:ascii="Times New Roman" w:hAnsi="Times New Roman" w:cs="方正仿宋_GBK"/>
          <w:bCs/>
          <w:kern w:val="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方正仿宋_GBK"/>
          <w:bCs/>
          <w:kern w:val="2"/>
          <w:szCs w:val="32"/>
        </w:rPr>
        <w:t xml:space="preserve">   重庆市</w:t>
      </w:r>
      <w:bookmarkStart w:id="0" w:name="_GoBack"/>
      <w:bookmarkEnd w:id="0"/>
      <w:r>
        <w:rPr>
          <w:rFonts w:hint="eastAsia" w:ascii="Times New Roman" w:hAnsi="Times New Roman" w:cs="方正仿宋_GBK"/>
          <w:bCs/>
          <w:kern w:val="2"/>
          <w:szCs w:val="32"/>
        </w:rPr>
        <w:t>文化和旅游发展委员会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left"/>
        <w:textAlignment w:val="auto"/>
        <w:rPr>
          <w:rFonts w:hint="eastAsia" w:ascii="Times New Roman" w:hAnsi="Times New Roman" w:cs="方正仿宋_GBK"/>
          <w:bCs/>
          <w:kern w:val="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left"/>
        <w:textAlignment w:val="auto"/>
        <w:rPr>
          <w:rFonts w:hint="eastAsia" w:ascii="Times New Roman" w:hAnsi="Times New Roman" w:cs="方正仿宋_GBK"/>
          <w:bCs/>
          <w:kern w:val="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left"/>
        <w:textAlignment w:val="auto"/>
        <w:rPr>
          <w:rFonts w:hint="eastAsia" w:ascii="Times New Roman" w:hAnsi="Times New Roman" w:cs="方正仿宋_GBK"/>
          <w:bCs/>
          <w:kern w:val="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left"/>
        <w:textAlignment w:val="auto"/>
        <w:rPr>
          <w:rFonts w:hint="eastAsia" w:ascii="Times New Roman" w:hAnsi="Times New Roman" w:cs="方正仿宋_GBK"/>
          <w:bCs/>
          <w:kern w:val="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5056" w:firstLineChars="1600"/>
        <w:jc w:val="left"/>
        <w:textAlignment w:val="auto"/>
        <w:rPr>
          <w:rFonts w:hint="eastAsia" w:ascii="Times New Roman" w:hAnsi="Times New Roman" w:cs="方正仿宋_GBK"/>
          <w:bCs/>
          <w:kern w:val="2"/>
          <w:szCs w:val="32"/>
        </w:rPr>
      </w:pPr>
      <w:r>
        <w:rPr>
          <w:rFonts w:hint="eastAsia" w:ascii="Times New Roman" w:hAnsi="Times New Roman" w:cs="方正仿宋_GBK"/>
          <w:bCs/>
          <w:kern w:val="2"/>
          <w:szCs w:val="32"/>
        </w:rPr>
        <w:t>重庆市卫生健康委员会</w:t>
      </w:r>
    </w:p>
    <w:p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372" w:firstLineChars="1700"/>
        <w:textAlignment w:val="auto"/>
        <w:outlineLvl w:val="9"/>
        <w:rPr>
          <w:rFonts w:ascii="Times New Roman" w:hAnsi="Times New Roman" w:cs="方正仿宋_GBK"/>
          <w:bCs/>
          <w:sz w:val="32"/>
          <w:szCs w:val="32"/>
        </w:rPr>
      </w:pPr>
      <w:r>
        <w:rPr>
          <w:rFonts w:hint="eastAsia" w:ascii="Times New Roman" w:hAnsi="Times New Roman" w:cs="方正仿宋_GBK"/>
          <w:bCs/>
          <w:kern w:val="2"/>
          <w:szCs w:val="32"/>
        </w:rPr>
        <w:t>2024年11月</w:t>
      </w:r>
      <w:r>
        <w:rPr>
          <w:rFonts w:hint="eastAsia" w:ascii="Times New Roman" w:hAnsi="Times New Roman" w:cs="方正仿宋_GBK"/>
          <w:bCs/>
          <w:kern w:val="2"/>
          <w:szCs w:val="32"/>
          <w:lang w:val="en-US" w:eastAsia="zh-CN"/>
        </w:rPr>
        <w:t>21</w:t>
      </w:r>
      <w:r>
        <w:rPr>
          <w:rFonts w:hint="eastAsia" w:ascii="Times New Roman" w:hAnsi="Times New Roman" w:cs="方正仿宋_GBK"/>
          <w:bCs/>
          <w:kern w:val="2"/>
          <w:szCs w:val="32"/>
        </w:rPr>
        <w:t xml:space="preserve">日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bidi="ar"/>
        </w:rPr>
      </w:pPr>
      <w:r>
        <w:rPr>
          <w:rFonts w:hint="eastAsia" w:ascii="Times New Roman" w:hAnsi="Times New Roman" w:cs="方正仿宋_GBK"/>
          <w:sz w:val="32"/>
          <w:szCs w:val="32"/>
        </w:rPr>
        <w:br w:type="page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bidi="ar"/>
        </w:rPr>
        <w:t>重庆市促进银发经济发展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bidi="ar"/>
        </w:rPr>
        <w:t>增进老年人福祉工作实施方案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rPr>
          <w:rFonts w:hint="eastAsia" w:ascii="Times New Roman" w:hAnsi="Times New Roman" w:cs="方正仿宋_GBK"/>
          <w:kern w:val="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rPr>
          <w:rFonts w:ascii="Times New Roman" w:hAnsi="Times New Roman" w:cs="方正仿宋_GBK"/>
          <w:kern w:val="2"/>
          <w:szCs w:val="32"/>
        </w:rPr>
      </w:pPr>
      <w:r>
        <w:rPr>
          <w:rFonts w:hint="eastAsia" w:ascii="Times New Roman" w:hAnsi="Times New Roman" w:cs="方正仿宋_GBK"/>
          <w:kern w:val="2"/>
          <w:szCs w:val="32"/>
        </w:rPr>
        <w:t>为积极应对人口老龄化，培育经济发展新动能，提高人民生活品质，根据国务院办公厅《关于发展银发经济增进老年人福祉的意见》（</w:t>
      </w:r>
      <w:r>
        <w:rPr>
          <w:rFonts w:ascii="Times New Roman" w:hAnsi="Times New Roman"/>
          <w:kern w:val="2"/>
          <w:szCs w:val="32"/>
        </w:rPr>
        <w:t>国办发〔2024〕1号</w:t>
      </w:r>
      <w:r>
        <w:rPr>
          <w:rFonts w:hint="eastAsia" w:ascii="Times New Roman" w:hAnsi="Times New Roman" w:cs="方正仿宋_GBK"/>
          <w:kern w:val="2"/>
          <w:szCs w:val="32"/>
        </w:rPr>
        <w:t>），结合我市实际，制定本实施方案。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outlineLvl w:val="0"/>
        <w:rPr>
          <w:rFonts w:ascii="Times New Roman" w:hAnsi="Times New Roman" w:eastAsia="方正黑体_GBK" w:cs="方正黑体_GBK"/>
          <w:kern w:val="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Cs w:val="32"/>
        </w:rPr>
        <w:t>一、总体要求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rPr>
          <w:rFonts w:ascii="Times New Roman" w:hAnsi="Times New Roman"/>
          <w:kern w:val="2"/>
          <w:szCs w:val="32"/>
        </w:rPr>
      </w:pPr>
      <w:r>
        <w:rPr>
          <w:rFonts w:ascii="Times New Roman" w:hAnsi="Times New Roman"/>
          <w:kern w:val="2"/>
          <w:szCs w:val="32"/>
          <w:shd w:val="clear" w:color="auto" w:fill="FFFFFF"/>
        </w:rPr>
        <w:t>以习近平新时代中国特色社会主义思想为指导，</w:t>
      </w:r>
      <w:r>
        <w:rPr>
          <w:rFonts w:hint="eastAsia" w:ascii="Times New Roman" w:hAnsi="Times New Roman" w:cs="方正仿宋_GBK"/>
          <w:kern w:val="2"/>
          <w:szCs w:val="32"/>
        </w:rPr>
        <w:t>落实积极应对人口老龄化国家战略，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加快推动银发经济规模化、标准化、集群化、品牌化发展，培育高精尖产品和高品质服务模式</w:t>
      </w:r>
      <w:r>
        <w:rPr>
          <w:rFonts w:ascii="Times New Roman" w:hAnsi="Times New Roman" w:cs="方正仿宋_GBK"/>
          <w:kern w:val="2"/>
          <w:szCs w:val="32"/>
          <w:shd w:val="clear" w:color="auto" w:fill="FFFFFF"/>
        </w:rPr>
        <w:t>，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不断增进老年人生活福祉、提高生活品质。到</w:t>
      </w:r>
      <w:r>
        <w:rPr>
          <w:rFonts w:ascii="Times New Roman" w:hAnsi="Times New Roman"/>
          <w:kern w:val="2"/>
          <w:szCs w:val="32"/>
        </w:rPr>
        <w:t>2027年，</w:t>
      </w:r>
      <w:r>
        <w:rPr>
          <w:rFonts w:hint="eastAsia" w:ascii="Times New Roman" w:hAnsi="Times New Roman"/>
          <w:kern w:val="2"/>
          <w:szCs w:val="32"/>
        </w:rPr>
        <w:t>全市银发经济产业体系基本健全，市场规模持续扩大，形成一批具有较强带动作用的产业集群；支持银发经济发展的政策协同性显著增强，市场机制进一步理顺，老年友好型社会基本建成；</w:t>
      </w:r>
      <w:r>
        <w:rPr>
          <w:rFonts w:ascii="Times New Roman" w:hAnsi="Times New Roman"/>
          <w:kern w:val="2"/>
          <w:szCs w:val="32"/>
        </w:rPr>
        <w:t>基本建成</w:t>
      </w:r>
      <w:r>
        <w:rPr>
          <w:rFonts w:hint="eastAsia" w:ascii="Times New Roman" w:hAnsi="Times New Roman"/>
          <w:kern w:val="2"/>
          <w:szCs w:val="32"/>
        </w:rPr>
        <w:t>居家社区机构相协调、医养康养相结合的城乡一体化养老服务体系，</w:t>
      </w:r>
      <w:r>
        <w:rPr>
          <w:rFonts w:ascii="Times New Roman" w:hAnsi="Times New Roman"/>
          <w:kern w:val="2"/>
          <w:szCs w:val="32"/>
        </w:rPr>
        <w:t>全市养老服务床位数达到</w:t>
      </w:r>
      <w:r>
        <w:rPr>
          <w:rFonts w:hint="eastAsia" w:ascii="Times New Roman" w:hAnsi="Times New Roman"/>
          <w:kern w:val="2"/>
          <w:szCs w:val="32"/>
        </w:rPr>
        <w:t>24</w:t>
      </w:r>
      <w:r>
        <w:rPr>
          <w:rFonts w:ascii="Times New Roman" w:hAnsi="Times New Roman"/>
          <w:kern w:val="2"/>
          <w:szCs w:val="32"/>
        </w:rPr>
        <w:t>万张，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养老床位利用率明显提升</w:t>
      </w:r>
      <w:r>
        <w:rPr>
          <w:rFonts w:hint="eastAsia" w:ascii="Times New Roman" w:hAnsi="Times New Roman"/>
          <w:kern w:val="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outlineLvl w:val="0"/>
        <w:rPr>
          <w:rFonts w:ascii="Times New Roman" w:hAnsi="Times New Roman" w:eastAsia="方正黑体_GBK" w:cs="方正黑体_GBK"/>
          <w:kern w:val="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Cs w:val="32"/>
        </w:rPr>
        <w:t>二、重点任务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outlineLvl w:val="1"/>
        <w:rPr>
          <w:rFonts w:hint="eastAsia" w:ascii="Times New Roman" w:hAnsi="Times New Roman" w:eastAsia="方正楷体_GBK" w:cs="方正楷体_GBK"/>
          <w:kern w:val="2"/>
          <w:szCs w:val="32"/>
          <w:highlight w:val="yellow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kern w:val="2"/>
          <w:szCs w:val="32"/>
          <w:shd w:val="clear" w:color="auto" w:fill="FFFFFF"/>
        </w:rPr>
        <w:t>（一）实施服务兜底工程，解决急难愁盼问题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jc w:val="both"/>
        <w:textAlignment w:val="auto"/>
        <w:rPr>
          <w:rFonts w:ascii="Times New Roman" w:hAnsi="Times New Roman" w:cs="方正仿宋_GBK"/>
          <w:kern w:val="2"/>
          <w:szCs w:val="32"/>
          <w:shd w:val="clear" w:color="auto" w:fill="FFFFFF"/>
        </w:rPr>
      </w:pPr>
      <w:r>
        <w:rPr>
          <w:rFonts w:ascii="Times New Roman" w:hAnsi="Times New Roman"/>
          <w:kern w:val="2"/>
          <w:szCs w:val="32"/>
          <w:shd w:val="clear" w:color="auto" w:fill="FFFFFF"/>
        </w:rPr>
        <w:t>1</w:t>
      </w:r>
      <w:r>
        <w:rPr>
          <w:rFonts w:ascii="Times New Roman" w:hAnsi="Times New Roman"/>
          <w:szCs w:val="32"/>
          <w:lang w:bidi="ar"/>
        </w:rPr>
        <w:t>．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扩大老年助餐服务。</w:t>
      </w:r>
      <w:r>
        <w:rPr>
          <w:rFonts w:ascii="Times New Roman" w:hAnsi="Times New Roman"/>
          <w:kern w:val="2"/>
          <w:szCs w:val="32"/>
        </w:rPr>
        <w:t>出台老年食堂</w:t>
      </w:r>
      <w:r>
        <w:rPr>
          <w:rFonts w:hint="eastAsia" w:ascii="Times New Roman" w:hAnsi="Times New Roman"/>
          <w:kern w:val="2"/>
          <w:szCs w:val="32"/>
        </w:rPr>
        <w:t>建设</w:t>
      </w:r>
      <w:r>
        <w:rPr>
          <w:rFonts w:ascii="Times New Roman" w:hAnsi="Times New Roman"/>
          <w:kern w:val="2"/>
          <w:szCs w:val="32"/>
        </w:rPr>
        <w:t>运营</w:t>
      </w:r>
      <w:r>
        <w:rPr>
          <w:rFonts w:hint="eastAsia" w:ascii="Times New Roman" w:hAnsi="Times New Roman"/>
          <w:kern w:val="2"/>
          <w:szCs w:val="32"/>
        </w:rPr>
        <w:t>规范</w:t>
      </w:r>
      <w:r>
        <w:rPr>
          <w:rFonts w:ascii="Times New Roman" w:hAnsi="Times New Roman"/>
          <w:kern w:val="2"/>
          <w:szCs w:val="32"/>
        </w:rPr>
        <w:t>，引导</w:t>
      </w:r>
      <w:r>
        <w:rPr>
          <w:rFonts w:hint="eastAsia" w:ascii="Times New Roman" w:hAnsi="Times New Roman"/>
          <w:kern w:val="2"/>
          <w:szCs w:val="32"/>
        </w:rPr>
        <w:t>各类</w:t>
      </w:r>
      <w:r>
        <w:rPr>
          <w:rFonts w:ascii="Times New Roman" w:hAnsi="Times New Roman"/>
          <w:kern w:val="2"/>
          <w:szCs w:val="32"/>
        </w:rPr>
        <w:t>市场主体</w:t>
      </w:r>
      <w:r>
        <w:rPr>
          <w:rFonts w:hint="eastAsia" w:ascii="Times New Roman" w:hAnsi="Times New Roman"/>
          <w:kern w:val="2"/>
          <w:szCs w:val="32"/>
        </w:rPr>
        <w:t>开展老年</w:t>
      </w:r>
      <w:r>
        <w:rPr>
          <w:rFonts w:ascii="Times New Roman" w:hAnsi="Times New Roman"/>
          <w:kern w:val="2"/>
          <w:szCs w:val="32"/>
        </w:rPr>
        <w:t>助餐</w:t>
      </w:r>
      <w:r>
        <w:rPr>
          <w:rFonts w:hint="eastAsia" w:ascii="Times New Roman" w:hAnsi="Times New Roman"/>
          <w:kern w:val="2"/>
          <w:szCs w:val="32"/>
        </w:rPr>
        <w:t>服务，</w:t>
      </w:r>
      <w:r>
        <w:rPr>
          <w:rFonts w:hint="eastAsia" w:ascii="Times New Roman" w:hAnsi="Times New Roman" w:cs="楷体"/>
          <w:kern w:val="2"/>
          <w:szCs w:val="32"/>
        </w:rPr>
        <w:t>支持有条件的学校和单位食堂向老年人开放。支持建立“中央厨房+冷链输送+社区配送站+流动餐车”配送餐体系，支持农村“赶集食堂”建设</w:t>
      </w:r>
      <w:r>
        <w:rPr>
          <w:rFonts w:hint="eastAsia" w:ascii="Times New Roman" w:hAnsi="Times New Roman"/>
          <w:snapToGrid w:val="0"/>
          <w:kern w:val="2"/>
          <w:szCs w:val="32"/>
        </w:rPr>
        <w:t>。支持互联网平台、物流企业开展送餐服务。</w:t>
      </w:r>
      <w:r>
        <w:rPr>
          <w:rFonts w:hint="eastAsia" w:ascii="Times New Roman" w:hAnsi="Times New Roman" w:cs="方正仿宋_GBK"/>
          <w:kern w:val="2"/>
          <w:szCs w:val="32"/>
        </w:rPr>
        <w:t>开发“渝悦养老”助餐服务模块，</w:t>
      </w:r>
      <w:r>
        <w:rPr>
          <w:rFonts w:hint="eastAsia" w:ascii="Times New Roman" w:hAnsi="Times New Roman"/>
          <w:snapToGrid w:val="0"/>
          <w:kern w:val="2"/>
          <w:szCs w:val="32"/>
        </w:rPr>
        <w:t>促进资源整合与共享。建立分类补助机制，有条件的区县，可对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享受助餐服务的老年人给予补贴或发放消费券，对</w:t>
      </w:r>
      <w:r>
        <w:rPr>
          <w:rFonts w:hint="eastAsia" w:ascii="Times New Roman" w:hAnsi="Times New Roman" w:cs="方正仿宋_GBK"/>
          <w:snapToGrid w:val="0"/>
          <w:kern w:val="2"/>
          <w:szCs w:val="32"/>
        </w:rPr>
        <w:t>经营主体给予运营补助或综合奖补。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jc w:val="both"/>
        <w:textAlignment w:val="auto"/>
        <w:rPr>
          <w:rFonts w:ascii="Times New Roman" w:hAnsi="Times New Roman"/>
          <w:snapToGrid w:val="0"/>
          <w:kern w:val="2"/>
          <w:szCs w:val="32"/>
        </w:rPr>
      </w:pPr>
      <w:r>
        <w:rPr>
          <w:rFonts w:hint="eastAsia" w:ascii="Times New Roman" w:hAnsi="Times New Roman"/>
          <w:kern w:val="2"/>
          <w:szCs w:val="32"/>
          <w:shd w:val="clear" w:color="auto" w:fill="FFFFFF"/>
        </w:rPr>
        <w:t>2</w:t>
      </w:r>
      <w:r>
        <w:rPr>
          <w:rFonts w:ascii="Times New Roman" w:hAnsi="Times New Roman"/>
          <w:szCs w:val="32"/>
          <w:lang w:bidi="ar"/>
        </w:rPr>
        <w:t>．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拓展居家助老服务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。探索“养老+物业+社区”模式，支持物业企业与社区养老机构合作提供助餐、助浴、助洁、助急、照料看护等服务。支持政府购买居家养老服务包。鼓励家政企业与养老机构合作，发展多业态居家养老上门服务。持续开展家庭照护培训，探索设立“家庭照护床位”。全面建立居家探访制度，加强特殊困难居家老年人定期探访与帮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rPr>
          <w:rFonts w:ascii="Times New Roman" w:hAnsi="Times New Roman"/>
          <w:kern w:val="2"/>
          <w:szCs w:val="32"/>
          <w:shd w:val="clear" w:color="auto" w:fill="FFFFFF"/>
        </w:rPr>
      </w:pPr>
      <w:r>
        <w:rPr>
          <w:rFonts w:hint="eastAsia" w:ascii="Times New Roman" w:hAnsi="Times New Roman"/>
          <w:kern w:val="2"/>
          <w:szCs w:val="32"/>
          <w:shd w:val="clear" w:color="auto" w:fill="FFFFFF"/>
        </w:rPr>
        <w:t>3</w:t>
      </w:r>
      <w:r>
        <w:rPr>
          <w:rFonts w:ascii="Times New Roman" w:hAnsi="Times New Roman"/>
          <w:szCs w:val="32"/>
          <w:lang w:bidi="ar"/>
        </w:rPr>
        <w:t>．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发展社区便民服务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。</w:t>
      </w:r>
      <w:r>
        <w:rPr>
          <w:rFonts w:hint="eastAsia" w:ascii="Times New Roman" w:hAnsi="Times New Roman"/>
          <w:kern w:val="2"/>
          <w:szCs w:val="32"/>
        </w:rPr>
        <w:t>全面推进城市一刻钟便民生活圈建设，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鼓励商场、超市等开设老年专区或便捷窗口。开展完整社区建设试点，发展社区嵌入式服务设施，推动物流配送、智能快递柜、蔬菜直通车等进社区。鼓励家政、养老企业进社区，提供适合老年群体个性化商品和服务。</w:t>
      </w:r>
      <w:r>
        <w:rPr>
          <w:rFonts w:ascii="Times New Roman" w:hAnsi="Times New Roman"/>
          <w:kern w:val="2"/>
          <w:szCs w:val="32"/>
          <w:shd w:val="clear" w:color="auto" w:fill="FFFFFF"/>
        </w:rPr>
        <w:t>到2027年，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全市建成50个以</w:t>
      </w:r>
      <w:r>
        <w:rPr>
          <w:rFonts w:ascii="Times New Roman" w:hAnsi="Times New Roman"/>
          <w:kern w:val="2"/>
          <w:szCs w:val="32"/>
          <w:shd w:val="clear" w:color="auto" w:fill="FFFFFF"/>
        </w:rPr>
        <w:t>上城市一刻钟优质便民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生活圈，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建设</w:t>
      </w:r>
      <w:r>
        <w:rPr>
          <w:rFonts w:ascii="Times New Roman" w:hAnsi="Times New Roman"/>
          <w:kern w:val="2"/>
          <w:szCs w:val="32"/>
          <w:shd w:val="clear" w:color="auto" w:fill="FFFFFF"/>
        </w:rPr>
        <w:t>100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个以上社区嵌入式服务设施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rPr>
          <w:rFonts w:ascii="Times New Roman" w:hAnsi="Times New Roman"/>
          <w:kern w:val="2"/>
          <w:szCs w:val="32"/>
          <w:shd w:val="clear" w:color="auto" w:fill="FFFFFF"/>
        </w:rPr>
      </w:pPr>
      <w:r>
        <w:rPr>
          <w:rFonts w:hint="eastAsia" w:ascii="Times New Roman" w:hAnsi="Times New Roman"/>
          <w:kern w:val="2"/>
          <w:szCs w:val="32"/>
          <w:shd w:val="clear" w:color="auto" w:fill="FFFFFF"/>
        </w:rPr>
        <w:t>4</w:t>
      </w:r>
      <w:r>
        <w:rPr>
          <w:rFonts w:ascii="Times New Roman" w:hAnsi="Times New Roman"/>
          <w:szCs w:val="32"/>
          <w:lang w:bidi="ar"/>
        </w:rPr>
        <w:t>．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优化老年健康服务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。</w:t>
      </w:r>
      <w:r>
        <w:rPr>
          <w:rFonts w:hint="eastAsia" w:ascii="Times New Roman" w:hAnsi="Times New Roman"/>
          <w:kern w:val="2"/>
          <w:szCs w:val="32"/>
          <w:shd w:val="clear" w:color="auto" w:fill="FFFFFF"/>
          <w:lang w:eastAsia="zh-CN"/>
        </w:rPr>
        <w:t>推动老年医院建设，强化社区医养结合服务能力提升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，到2027年，建成老年医院10个、社区（乡镇）医养中心80个。稳步扩大安宁疗护试点，全市安宁疗护床位达到1000张以上。扩大家庭医</w:t>
      </w:r>
      <w:r>
        <w:rPr>
          <w:rFonts w:ascii="Times New Roman" w:hAnsi="Times New Roman"/>
          <w:kern w:val="2"/>
          <w:szCs w:val="32"/>
          <w:shd w:val="clear" w:color="auto" w:fill="FFFFFF"/>
        </w:rPr>
        <w:t>生签约服务覆盖面，65岁以上老年人家庭医生签约覆盖率达80%。强化老年人中医药健康管理，进一步加强三级中医医院康复科建设，持续提升老年人中医药健康管理水平。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rPr>
          <w:rFonts w:ascii="Times New Roman" w:hAnsi="Times New Roman"/>
          <w:kern w:val="2"/>
          <w:szCs w:val="32"/>
          <w:shd w:val="clear" w:color="auto" w:fill="FFFFFF"/>
        </w:rPr>
      </w:pPr>
      <w:r>
        <w:rPr>
          <w:rFonts w:hint="eastAsia" w:ascii="Times New Roman" w:hAnsi="Times New Roman"/>
          <w:kern w:val="2"/>
          <w:szCs w:val="32"/>
          <w:shd w:val="clear" w:color="auto" w:fill="FFFFFF"/>
        </w:rPr>
        <w:t>5</w:t>
      </w:r>
      <w:r>
        <w:rPr>
          <w:rFonts w:ascii="Times New Roman" w:hAnsi="Times New Roman"/>
          <w:szCs w:val="32"/>
          <w:lang w:bidi="ar"/>
        </w:rPr>
        <w:t>．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完善养老照护服务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。支持对普通型床位和护理型床位实行差异化补助，到2027年，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全市养老机构护理型养老床位占比超过65%</w:t>
      </w:r>
      <w:r>
        <w:rPr>
          <w:rFonts w:ascii="Times New Roman" w:hAnsi="Times New Roman"/>
          <w:kern w:val="2"/>
          <w:szCs w:val="32"/>
          <w:shd w:val="clear" w:color="auto" w:fill="FFFFFF"/>
        </w:rPr>
        <w:t>。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推进农村失能特困人员集中照护工程建设，适当增设认知障碍老年人照护专区。推动医疗卫生机构与养老机构毗邻建设、资源共享。建立居家、社区、机构养老之间的服务转介衔接机制。</w:t>
      </w:r>
      <w:r>
        <w:rPr>
          <w:rFonts w:hint="eastAsia" w:ascii="Times New Roman" w:hAnsi="Times New Roman" w:cs="方正仿宋_GBK"/>
          <w:kern w:val="2"/>
          <w:szCs w:val="32"/>
        </w:rPr>
        <w:t>推动养老服务品牌化、连锁化发展，到2027年，培育高品质全国性连锁企业10家。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rPr>
          <w:rFonts w:ascii="Times New Roman" w:hAnsi="Times New Roman"/>
          <w:kern w:val="2"/>
          <w:szCs w:val="32"/>
        </w:rPr>
      </w:pPr>
      <w:r>
        <w:rPr>
          <w:rFonts w:hint="eastAsia" w:ascii="Times New Roman" w:hAnsi="Times New Roman"/>
          <w:kern w:val="2"/>
          <w:szCs w:val="32"/>
          <w:shd w:val="clear" w:color="auto" w:fill="FFFFFF"/>
        </w:rPr>
        <w:t>6</w:t>
      </w:r>
      <w:r>
        <w:rPr>
          <w:rFonts w:ascii="Times New Roman" w:hAnsi="Times New Roman"/>
          <w:szCs w:val="32"/>
          <w:lang w:bidi="ar"/>
        </w:rPr>
        <w:t>．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丰富老年文体服务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。发展城乡社区老年教育，支持有条件的学校举办老年大学或学习点。依托重庆开放大学建设重庆老年开放大学，搭建老年教育资源共享和公共服务平台。</w:t>
      </w:r>
      <w:r>
        <w:rPr>
          <w:rFonts w:hint="eastAsia" w:ascii="Times New Roman" w:hAnsi="Times New Roman" w:cs="方正仿宋_GBK"/>
          <w:kern w:val="2"/>
          <w:szCs w:val="32"/>
        </w:rPr>
        <w:t>统筹完善各类公共文化设施，设置老年人教育、文化、健身、交流场所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。</w:t>
      </w:r>
      <w:r>
        <w:rPr>
          <w:rFonts w:hint="eastAsia" w:ascii="Times New Roman" w:hAnsi="Times New Roman" w:cs="方正仿宋_GBK"/>
          <w:kern w:val="2"/>
          <w:szCs w:val="32"/>
        </w:rPr>
        <w:t>培养服务老年人的基层文体骨干。发展老年人体育协会，支持老年人参加体育赛事、健身运动会。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</w:pPr>
      <w:r>
        <w:rPr>
          <w:rFonts w:hint="eastAsia" w:ascii="Times New Roman" w:hAnsi="Times New Roman"/>
          <w:kern w:val="2"/>
          <w:szCs w:val="32"/>
          <w:shd w:val="clear" w:color="auto" w:fill="FFFFFF"/>
        </w:rPr>
        <w:t>7</w:t>
      </w:r>
      <w:r>
        <w:rPr>
          <w:rFonts w:ascii="Times New Roman" w:hAnsi="Times New Roman"/>
          <w:szCs w:val="32"/>
          <w:lang w:bidi="ar"/>
        </w:rPr>
        <w:t>．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提升农村养老服务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。探索建立养老志愿服务激励与评价机制，实施“互助养老”工程，</w:t>
      </w:r>
      <w:r>
        <w:rPr>
          <w:rFonts w:hint="eastAsia" w:ascii="Times New Roman" w:hAnsi="Times New Roman" w:cs="方正仿宋_GBK"/>
          <w:kern w:val="2"/>
          <w:szCs w:val="32"/>
        </w:rPr>
        <w:t>提升农村互助养老点效能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。</w:t>
      </w:r>
      <w:r>
        <w:rPr>
          <w:rFonts w:hint="eastAsia" w:ascii="Times New Roman" w:hAnsi="Times New Roman"/>
          <w:kern w:val="2"/>
          <w:szCs w:val="32"/>
        </w:rPr>
        <w:t>支持有条件的</w:t>
      </w:r>
      <w:r>
        <w:rPr>
          <w:rFonts w:ascii="Times New Roman" w:hAnsi="Times New Roman"/>
          <w:kern w:val="2"/>
          <w:szCs w:val="32"/>
        </w:rPr>
        <w:t>乡镇敬老院改造提升，因地制宜建设特困人员集中供养中心</w:t>
      </w:r>
      <w:r>
        <w:rPr>
          <w:rFonts w:hint="eastAsia" w:ascii="Times New Roman" w:hAnsi="Times New Roman"/>
          <w:kern w:val="2"/>
          <w:szCs w:val="32"/>
        </w:rPr>
        <w:t>。</w:t>
      </w:r>
      <w:r>
        <w:rPr>
          <w:rFonts w:ascii="Times New Roman" w:hAnsi="Times New Roman"/>
          <w:kern w:val="2"/>
          <w:szCs w:val="32"/>
        </w:rPr>
        <w:t>到2027年，全市二星级以上乡镇敬老院比例达到60%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。支持社会力量探索“公司（社会组织）+农户+合作社”经营模式，举办生态田园型、旅居度假型养老机构，丰富农村养老服务业态。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jc w:val="both"/>
        <w:textAlignment w:val="auto"/>
        <w:rPr>
          <w:rFonts w:ascii="Times New Roman" w:hAnsi="Times New Roman" w:cs="方正仿宋_GBK"/>
          <w:kern w:val="2"/>
          <w:szCs w:val="32"/>
          <w:shd w:val="clear" w:color="auto" w:fill="FFFFFF"/>
        </w:rPr>
      </w:pP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8</w:t>
      </w:r>
      <w:r>
        <w:rPr>
          <w:rFonts w:ascii="Times New Roman" w:hAnsi="Times New Roman"/>
          <w:szCs w:val="32"/>
          <w:lang w:bidi="ar"/>
        </w:rPr>
        <w:t>．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开展老年人权益保障服务。</w:t>
      </w:r>
      <w:r>
        <w:rPr>
          <w:rFonts w:ascii="Times New Roman" w:hAnsi="Times New Roman"/>
          <w:kern w:val="2"/>
          <w:szCs w:val="32"/>
          <w:shd w:val="clear" w:color="auto" w:fill="FFFFFF"/>
        </w:rPr>
        <w:t>加强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市场</w:t>
      </w:r>
      <w:r>
        <w:rPr>
          <w:rFonts w:ascii="Times New Roman" w:hAnsi="Times New Roman"/>
          <w:kern w:val="2"/>
          <w:szCs w:val="32"/>
          <w:shd w:val="clear" w:color="auto" w:fill="FFFFFF"/>
        </w:rPr>
        <w:t>监管，打击欺诈和不正当竞争行为，保护老年人的合法权益。广泛开展老年人识骗防骗宣传教育活动，持续开展养老诈骗犯罪专项打击整治，严厉打击侵害老年人合法权益的违法犯罪行为。强化信用监管，依法依规惩处医养服务机构欺老、虐老等侵害老年人合法权益的行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outlineLvl w:val="1"/>
        <w:rPr>
          <w:rFonts w:hint="eastAsia" w:ascii="Times New Roman" w:hAnsi="Times New Roman" w:eastAsia="方正楷体_GBK" w:cs="方正楷体_GBK"/>
          <w:kern w:val="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kern w:val="2"/>
          <w:szCs w:val="32"/>
          <w:shd w:val="clear" w:color="auto" w:fill="FFFFFF"/>
        </w:rPr>
        <w:t>（二）实施供给扩容工程，提升产品质量水平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rPr>
          <w:rFonts w:ascii="Times New Roman" w:hAnsi="Times New Roman" w:cs="方正仿宋_GBK"/>
          <w:kern w:val="2"/>
          <w:szCs w:val="32"/>
          <w:shd w:val="clear" w:color="auto" w:fill="FFFFFF"/>
        </w:rPr>
      </w:pPr>
      <w:r>
        <w:rPr>
          <w:rFonts w:hint="eastAsia" w:ascii="Times New Roman" w:hAnsi="Times New Roman" w:eastAsia="宋体"/>
          <w:kern w:val="2"/>
          <w:szCs w:val="32"/>
          <w:shd w:val="clear" w:color="auto" w:fill="FFFFFF"/>
        </w:rPr>
        <w:t>9</w:t>
      </w:r>
      <w:r>
        <w:rPr>
          <w:rFonts w:ascii="Times New Roman" w:hAnsi="Times New Roman"/>
          <w:szCs w:val="32"/>
          <w:lang w:bidi="ar"/>
        </w:rPr>
        <w:t>．</w:t>
      </w:r>
      <w:r>
        <w:rPr>
          <w:rFonts w:ascii="Times New Roman" w:hAnsi="Times New Roman"/>
          <w:kern w:val="2"/>
          <w:szCs w:val="32"/>
          <w:shd w:val="clear" w:color="auto" w:fill="FFFFFF"/>
        </w:rPr>
        <w:t>培育银发经济经营主体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。发挥国有企业引领示范作用，鼓励和引导国有企业结合主责主业积极拓展银发经济相关业务。大力支持民营经济发展，积极争取银发经济领域外商投资。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推动中小企业梯度成长，支持传统企业转型高新技术企业和科技型企业，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培育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一批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专精特新“小巨人”企业和制造业单项冠军企业。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rPr>
          <w:rFonts w:ascii="Times New Roman" w:hAnsi="Times New Roman"/>
          <w:kern w:val="2"/>
          <w:szCs w:val="32"/>
          <w:shd w:val="clear" w:color="auto" w:fill="FFFFFF"/>
        </w:rPr>
      </w:pPr>
      <w:r>
        <w:rPr>
          <w:rFonts w:hint="eastAsia" w:ascii="Times New Roman" w:hAnsi="Times New Roman" w:eastAsia="宋体"/>
          <w:kern w:val="2"/>
          <w:szCs w:val="32"/>
          <w:shd w:val="clear" w:color="auto" w:fill="FFFFFF"/>
        </w:rPr>
        <w:t>10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．打造银发经济产业集群。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争取创建国家级高水平银发经济产业园区。鼓励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依托产业基础和优势资源，重点发展生物医药、康复器具、中医药、生态康养等细分领域特色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银发经济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产业园。围绕银发经济产业链，开展链主型龙头企业招商，引进标志性引领性项目</w:t>
      </w:r>
      <w:r>
        <w:rPr>
          <w:rFonts w:hint="eastAsia" w:ascii="Times New Roman" w:hAnsi="Times New Roman" w:eastAsia="宋体"/>
          <w:kern w:val="2"/>
          <w:szCs w:val="32"/>
          <w:shd w:val="clear" w:color="auto" w:fill="FFFFFF"/>
        </w:rPr>
        <w:t>；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依托链主型企业开展强链补链延链招商，打造完善的银发经济产业生态。支持依托开发区等平台，推进银发经济领域跨区域、国际性合作。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rPr>
          <w:rFonts w:hint="eastAsia" w:ascii="Times New Roman" w:hAnsi="Times New Roman"/>
          <w:kern w:val="2"/>
          <w:szCs w:val="32"/>
          <w:lang w:bidi="ar"/>
        </w:rPr>
      </w:pPr>
      <w:r>
        <w:rPr>
          <w:rFonts w:hint="eastAsia" w:ascii="Times New Roman" w:hAnsi="Times New Roman" w:eastAsia="宋体"/>
          <w:kern w:val="2"/>
          <w:szCs w:val="32"/>
          <w:shd w:val="clear" w:color="auto" w:fill="FFFFFF"/>
        </w:rPr>
        <w:t>11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．壮大银发经济品牌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。鼓励企业和行业协会，培育打造行业品牌、区域品牌和集群品牌。依托中国品牌日、全国“质量月”、全国知识产权宣传周等活动，积极开展银发经济品牌公益宣传。用好中国（重庆）国际老年产业博览会等</w:t>
      </w:r>
      <w:r>
        <w:rPr>
          <w:rFonts w:ascii="Times New Roman" w:hAnsi="Times New Roman" w:cs="方正仿宋_GBK"/>
          <w:kern w:val="2"/>
          <w:szCs w:val="32"/>
          <w:shd w:val="clear" w:color="auto" w:fill="FFFFFF"/>
        </w:rPr>
        <w:t>展会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平台，展示推介银发经济前沿技术和产品服务。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rPr>
          <w:rFonts w:ascii="Times New Roman" w:hAnsi="Times New Roman" w:cs="方正仿宋_GBK"/>
          <w:kern w:val="2"/>
          <w:szCs w:val="32"/>
          <w:shd w:val="clear" w:color="auto" w:fill="FFFFFF"/>
        </w:rPr>
      </w:pPr>
      <w:r>
        <w:rPr>
          <w:rFonts w:hint="eastAsia" w:ascii="Times New Roman" w:hAnsi="Times New Roman" w:eastAsia="宋体"/>
          <w:kern w:val="2"/>
          <w:szCs w:val="32"/>
          <w:shd w:val="clear" w:color="auto" w:fill="FFFFFF"/>
        </w:rPr>
        <w:t>12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．完善银发经济标准体系。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推动银发经济相关领域标准化试点，扩大先进标准供给。鼓励行业协会、企业参与制定通用标准。对自主研发、技术领先、市场认可的产品，优先纳入升级和创新消费品指南。用好各领域质量控制和技术评价实验室，建设高水平、专业化第三方质量测试平台，开展质量测评、验证、认证工作。加强产品质量监督抽查、消费警示和缺陷产品召回、产品伤害监测工作。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  <w:lang w:val="en-GB"/>
        </w:rPr>
        <w:t>开展养老服务认证，推动养老服务业健康规范高质量发展。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rPr>
          <w:rFonts w:ascii="Times New Roman" w:hAnsi="Times New Roman"/>
          <w:kern w:val="2"/>
          <w:szCs w:val="32"/>
          <w:shd w:val="clear" w:color="auto" w:fill="FFFFFF"/>
        </w:rPr>
      </w:pPr>
      <w:r>
        <w:rPr>
          <w:rFonts w:hint="eastAsia" w:ascii="Times New Roman" w:hAnsi="Times New Roman" w:eastAsia="宋体"/>
          <w:kern w:val="2"/>
          <w:szCs w:val="32"/>
          <w:shd w:val="clear" w:color="auto" w:fill="FFFFFF"/>
        </w:rPr>
        <w:t>13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．繁荣发展银发消费市场。</w:t>
      </w:r>
      <w:r>
        <w:rPr>
          <w:rFonts w:hint="eastAsia" w:ascii="Times New Roman" w:hAnsi="Times New Roman" w:cs="方正仿宋_GBK"/>
          <w:kern w:val="2"/>
          <w:szCs w:val="32"/>
        </w:rPr>
        <w:t>鼓励行业协会、企业在重阳、春节等重要节日举办银发经济消费促进活动，活跃老年消费氛围。支持家居卖场、电商平台设立老年用品销售专区专柜，丰富家居消费场景。鼓励培育打造老年人消费场景，在交通出行、社交通讯、生活购物、金融医疗、电子游戏等领域，开展互联网网站和移动互联网应用适老化改造，释放老年人消费潜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outlineLvl w:val="1"/>
        <w:rPr>
          <w:rFonts w:hint="eastAsia" w:ascii="Times New Roman" w:hAnsi="Times New Roman" w:eastAsia="方正楷体_GBK" w:cs="方正楷体_GBK"/>
          <w:kern w:val="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kern w:val="2"/>
          <w:szCs w:val="32"/>
          <w:shd w:val="clear" w:color="auto" w:fill="FFFFFF"/>
        </w:rPr>
        <w:t>（三）实施产业培育工程，满足多样化需求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</w:pP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宋体" w:cs="方正仿宋_GBK"/>
          <w:kern w:val="2"/>
          <w:szCs w:val="32"/>
          <w:shd w:val="clear" w:color="auto" w:fill="FFFFFF"/>
        </w:rPr>
        <w:t>4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．强化老年用品开发创新。推动更多老年用品产品进入国家老年用品产品推广目录。鼓励研发适合老年人咀嚼咬合和营养要求的保健食品、特医食品，支持培育老年方便营养食品产业。实施家居产业高质量发展行动，重点开发应用适老化日用产品和老年休闲陪护产品。引导车辆生产企业研发符合国家技术标准、适应老年人无障碍出行需求的车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rPr>
          <w:rFonts w:ascii="Times New Roman" w:hAnsi="Times New Roman" w:cs="方正仿宋_GBK"/>
          <w:kern w:val="2"/>
          <w:szCs w:val="32"/>
          <w:shd w:val="clear" w:color="auto" w:fill="FFFFFF"/>
        </w:rPr>
      </w:pPr>
      <w:r>
        <w:rPr>
          <w:rFonts w:hint="eastAsia" w:ascii="Times New Roman" w:hAnsi="Times New Roman" w:eastAsia="宋体" w:cs="方正仿宋_GBK"/>
          <w:kern w:val="2"/>
          <w:szCs w:val="32"/>
          <w:shd w:val="clear" w:color="auto" w:fill="FFFFFF"/>
        </w:rPr>
        <w:t>15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．打造智慧康养新业态。加快推广社区居家互动式智慧健康养老平台应用。开展智慧健康养老应用试点示范工作，创建一批示范企业、示范街道（乡镇）、示范基地等。强化人工智能、虚拟现实、可穿戴等新技术在养老场景集成应用，发展健康管理、养老监护、心理慰藉等智能产品，推广应用智能护理、家庭服务、防走失等智能设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ascii="Times New Roman" w:hAnsi="Times New Roman" w:cs="方正仿宋_GBK"/>
          <w:kern w:val="2"/>
          <w:szCs w:val="32"/>
          <w:shd w:val="clear" w:color="auto" w:fill="FFFFFF"/>
        </w:rPr>
      </w:pPr>
      <w:r>
        <w:rPr>
          <w:rFonts w:hint="eastAsia" w:ascii="Times New Roman" w:hAnsi="Times New Roman" w:eastAsia="宋体" w:cs="方正仿宋_GBK"/>
          <w:kern w:val="2"/>
          <w:szCs w:val="32"/>
          <w:shd w:val="clear" w:color="auto" w:fill="FFFFFF"/>
        </w:rPr>
        <w:t>16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．发展康复辅助器具产业。支持有条件的企业开发智能助听器、仿生假肢、智能电动轮椅等功能代偿类康复辅助器具。推动“医工结合”，支持人工智能、虚拟现实等新技术集成应用，支持研发仿生假肢、认知障碍评估训练、虚拟现实康复训练设备等产品。持续推进康复辅助器具社区租赁服务试点工作，探索开展康复辅助器具销售和社区租赁。</w:t>
      </w:r>
    </w:p>
    <w:p>
      <w:pPr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ascii="Times New Roman" w:hAnsi="Times New Roman" w:cs="方正仿宋_GBK"/>
          <w:kern w:val="2"/>
          <w:szCs w:val="32"/>
          <w:shd w:val="clear" w:color="auto" w:fill="FFFFFF"/>
        </w:rPr>
      </w:pPr>
      <w:r>
        <w:rPr>
          <w:rFonts w:hint="eastAsia" w:ascii="Times New Roman" w:hAnsi="Times New Roman" w:eastAsia="宋体" w:cs="方正仿宋_GBK"/>
          <w:kern w:val="2"/>
          <w:szCs w:val="32"/>
          <w:shd w:val="clear" w:color="auto" w:fill="FFFFFF"/>
        </w:rPr>
        <w:t>17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．发展抗衰老产业。围绕抗体、重组蛋白及偶联药物、多肽药物、细胞基因治疗药物等重点领域加大创新投入，发展抗衰老产品。推动基因检测、分子诊断等生物技术与延缓老年病深度融合，开发老年病早期筛查产品和服务。发展美丽健康产业，加速医疗美容新药、新器械及新技术临床应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rPr>
          <w:rFonts w:ascii="Times New Roman" w:hAnsi="Times New Roman" w:cs="方正仿宋_GBK"/>
          <w:kern w:val="2"/>
          <w:szCs w:val="32"/>
          <w:shd w:val="clear" w:color="auto" w:fill="FFFFFF"/>
        </w:rPr>
      </w:pPr>
      <w:r>
        <w:rPr>
          <w:rFonts w:hint="eastAsia" w:ascii="Times New Roman" w:hAnsi="Times New Roman" w:eastAsia="宋体" w:cs="方正仿宋_GBK"/>
          <w:kern w:val="2"/>
          <w:szCs w:val="32"/>
          <w:shd w:val="clear" w:color="auto" w:fill="FFFFFF"/>
        </w:rPr>
        <w:t>18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．发展养老金融产品。大力推动个人养老金试点，推进专属商业养老保险常态化经营。加大对养老产业链的信贷支持，推动金融资源向养老服务、老年产品、老年文娱等倾斜。鼓励金融机构提升养老财富规划能力。发展商业医疗保险和商业长期护理保险，持续推动寿险责任与长期护理保险责任转换试点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rPr>
          <w:rFonts w:ascii="Times New Roman" w:hAnsi="Times New Roman"/>
          <w:kern w:val="2"/>
          <w:szCs w:val="32"/>
          <w:shd w:val="clear" w:color="auto" w:fill="FFFFFF"/>
        </w:rPr>
      </w:pPr>
      <w:r>
        <w:rPr>
          <w:rFonts w:hint="eastAsia" w:ascii="Times New Roman" w:hAnsi="Times New Roman" w:eastAsia="宋体" w:cs="方正仿宋_GBK"/>
          <w:kern w:val="2"/>
          <w:szCs w:val="32"/>
          <w:shd w:val="clear" w:color="auto" w:fill="FFFFFF"/>
        </w:rPr>
        <w:t>19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．拓展旅游服务业态。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因地制宜发展一批森林康养、避暑康养、中医药康养等康养旅游基地</w:t>
      </w:r>
      <w:r>
        <w:rPr>
          <w:rFonts w:hint="eastAsia" w:ascii="Times New Roman" w:hAnsi="Times New Roman" w:eastAsia="宋体"/>
          <w:kern w:val="2"/>
          <w:szCs w:val="32"/>
          <w:shd w:val="clear" w:color="auto" w:fill="FFFFFF"/>
        </w:rPr>
        <w:t>。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扩展老年医疗旅游、观光旅游、乡村旅游等新业态，推广怀旧游、青春游等主题产品。鼓励旅游企业依托线下门店、线上平台，创新开发更多适合老年人的旅游产品。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完善老少同乐、家庭友好的酒店、民宿等服务设施，鼓励开发家庭同游旅游产品。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rPr>
          <w:rFonts w:ascii="Times New Roman" w:hAnsi="Times New Roman"/>
          <w:kern w:val="2"/>
          <w:szCs w:val="32"/>
          <w:shd w:val="clear" w:color="auto" w:fill="FFFFFF"/>
        </w:rPr>
      </w:pPr>
      <w:r>
        <w:rPr>
          <w:rFonts w:hint="eastAsia" w:ascii="Times New Roman" w:hAnsi="Times New Roman" w:eastAsia="宋体" w:cs="方正仿宋_GBK"/>
          <w:kern w:val="2"/>
          <w:szCs w:val="32"/>
          <w:shd w:val="clear" w:color="auto" w:fill="FFFFFF"/>
        </w:rPr>
        <w:t>20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．推进适老化改造。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有序推进公共服务环境无障碍和适老化改造，并纳入城市体检指标体系。</w:t>
      </w:r>
      <w:r>
        <w:rPr>
          <w:rFonts w:hint="eastAsia" w:ascii="Times New Roman" w:hAnsi="Times New Roman" w:cs="方正仿宋_GBK"/>
          <w:kern w:val="2"/>
          <w:szCs w:val="32"/>
        </w:rPr>
        <w:t>对困难失能老年人家庭实施适老化改造，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支持具备条件的既有住宅增设电梯。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开展数字适老化能力提升工程，实施“智慧助老”行动，保留高频服务事项线下服务渠道并向基层延伸。推动老年食品、药品、用品等的说明书和宣传材料适老化。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outlineLvl w:val="1"/>
        <w:rPr>
          <w:rFonts w:ascii="Times New Roman" w:hAnsi="Times New Roman" w:eastAsia="方正楷体_GBK" w:cs="方正楷体_GBK"/>
          <w:kern w:val="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kern w:val="2"/>
          <w:szCs w:val="32"/>
          <w:shd w:val="clear" w:color="auto" w:fill="FFFFFF"/>
        </w:rPr>
        <w:t>三、强化要素支持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rPr>
          <w:rFonts w:ascii="Times New Roman" w:hAnsi="Times New Roman" w:cs="方正仿宋_GBK"/>
          <w:kern w:val="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kern w:val="2"/>
          <w:szCs w:val="32"/>
          <w:shd w:val="clear" w:color="auto" w:fill="FFFFFF"/>
        </w:rPr>
        <w:t>（一）加强科技创新应用。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围绕康复辅助器具、智慧健康养老等重点领域，谋划一批前瞻性、战略性科技攻关项目。针对银发经济领域关键环节，定期发布技术需求目录，针对性部署一批重大科技专项，加快突破一批关键共性技术。积极争取产业高质量发展、战略性新兴产业发展等专项对银发经济支持力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rPr>
          <w:rFonts w:ascii="Times New Roman" w:hAnsi="Times New Roman"/>
          <w:i/>
          <w:iCs/>
          <w:kern w:val="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kern w:val="2"/>
          <w:szCs w:val="32"/>
          <w:shd w:val="clear" w:color="auto" w:fill="FFFFFF"/>
        </w:rPr>
        <w:t>（二）完善用地用房保障。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科学编制供地计划，保障养老服务设施和银发经济产业用地需求。</w:t>
      </w:r>
      <w:r>
        <w:rPr>
          <w:rFonts w:ascii="Times New Roman" w:hAnsi="Times New Roman"/>
          <w:snapToGrid w:val="0"/>
          <w:szCs w:val="32"/>
        </w:rPr>
        <w:t>按照养老服务设施人均用地不低于0.2平方米的标准和新建城区、新建居住区配套建设养老服务设施的要求，分级编制养老服务设施布局专项规划</w:t>
      </w:r>
      <w:r>
        <w:rPr>
          <w:rFonts w:ascii="Times New Roman" w:hAnsi="Times New Roman"/>
          <w:kern w:val="2"/>
          <w:szCs w:val="32"/>
          <w:shd w:val="clear" w:color="auto" w:fill="FFFFFF"/>
        </w:rPr>
        <w:t>。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经规划实施评估论证的存量空间，可依法适当增加容积率，完善城市服务功能。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rPr>
          <w:rFonts w:ascii="Times New Roman" w:hAnsi="Times New Roman" w:cs="方正仿宋_GBK"/>
          <w:kern w:val="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kern w:val="2"/>
          <w:szCs w:val="32"/>
          <w:shd w:val="clear" w:color="auto" w:fill="FFFFFF"/>
        </w:rPr>
        <w:t>（三）强化财政金融支持。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统筹用好中央预算内投资、地方政府专项债券、超长期特别国债等资金渠道，支持符合条件的银发经济项目建设。用好普惠养老专项再贷款，符合条件的，按照市场化原则提供信贷支持。发挥福利彩票公益金引导作用，各级福彩公益金用于养老服务体系建设不低于</w:t>
      </w:r>
      <w:r>
        <w:rPr>
          <w:rFonts w:ascii="Times New Roman" w:hAnsi="Times New Roman"/>
          <w:kern w:val="2"/>
          <w:szCs w:val="32"/>
          <w:shd w:val="clear" w:color="auto" w:fill="FFFFFF"/>
        </w:rPr>
        <w:t>60%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。落实落细支持养老服务发展的税收优惠和费用减免政策。落实养老服务用电、用水、用气享受居民价格政策。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rPr>
          <w:rFonts w:ascii="Times New Roman" w:hAnsi="Times New Roman" w:cs="方正仿宋_GBK"/>
          <w:kern w:val="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kern w:val="2"/>
          <w:szCs w:val="32"/>
          <w:shd w:val="clear" w:color="auto" w:fill="FFFFFF"/>
        </w:rPr>
        <w:t>（四）推进人才队伍建设。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引导普通高校、职业院校等加大银发经济相关专业人才培养力度。完善以职业教育为主体、学历教育和职业培训相互衔接的人才培养体系。鼓励开展职业技能培训，健全职业技能等级认定制度，开展养老照护职称评定。支持校企合作共建产教融合实训基地。鼓励退休医务工作者、低龄老年人参与为老服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rPr>
          <w:rFonts w:ascii="Times New Roman" w:hAnsi="Times New Roman" w:cs="方正仿宋_GBK"/>
          <w:kern w:val="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kern w:val="2"/>
          <w:szCs w:val="32"/>
          <w:shd w:val="clear" w:color="auto" w:fill="FFFFFF"/>
        </w:rPr>
        <w:t>（五）健全数据要素支撑。</w:t>
      </w:r>
      <w:r>
        <w:rPr>
          <w:rFonts w:hint="eastAsia" w:ascii="Times New Roman" w:hAnsi="Times New Roman" w:cs="方正仿宋_GBK"/>
          <w:kern w:val="2"/>
          <w:szCs w:val="32"/>
          <w:shd w:val="clear" w:color="auto" w:fill="FFFFFF"/>
        </w:rPr>
        <w:t>逐步建立健全银发经济行业分类目录，加快构建银发经济统计监测指标体系和评价体系。积极推进银发经济领域数据有序开放和合理开发利用机制。加强基础性研究，开展老龄化趋势预测和银发经济前景展望。依法规范智能化产品和服务中的个人信息收集、使用等活动，加强技术监测和监督检查，做好安全防护和风险控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outlineLvl w:val="0"/>
        <w:rPr>
          <w:rFonts w:hint="eastAsia" w:ascii="Times New Roman" w:hAnsi="Times New Roman" w:eastAsia="方正黑体_GBK"/>
          <w:kern w:val="2"/>
          <w:szCs w:val="32"/>
        </w:rPr>
      </w:pPr>
      <w:r>
        <w:rPr>
          <w:rFonts w:hint="eastAsia" w:ascii="Times New Roman" w:hAnsi="Times New Roman" w:eastAsia="方正黑体_GBK"/>
          <w:kern w:val="2"/>
          <w:szCs w:val="32"/>
        </w:rPr>
        <w:t>四</w:t>
      </w:r>
      <w:r>
        <w:rPr>
          <w:rFonts w:ascii="Times New Roman" w:hAnsi="Times New Roman" w:eastAsia="方正黑体_GBK"/>
          <w:kern w:val="2"/>
          <w:szCs w:val="32"/>
        </w:rPr>
        <w:t>、</w:t>
      </w:r>
      <w:r>
        <w:rPr>
          <w:rFonts w:hint="eastAsia" w:ascii="Times New Roman" w:hAnsi="Times New Roman" w:eastAsia="方正黑体_GBK"/>
          <w:kern w:val="2"/>
          <w:szCs w:val="32"/>
        </w:rPr>
        <w:t>加强组织实施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outlineLvl w:val="1"/>
        <w:rPr>
          <w:rFonts w:ascii="Times New Roman" w:hAnsi="Times New Roman"/>
          <w:kern w:val="2"/>
          <w:szCs w:val="32"/>
          <w:shd w:val="clear" w:color="auto" w:fill="FFFFFF"/>
        </w:rPr>
      </w:pPr>
      <w:r>
        <w:rPr>
          <w:rFonts w:ascii="Times New Roman" w:hAnsi="Times New Roman" w:eastAsia="方正楷体_GBK" w:cs="方正楷体_GBK"/>
          <w:kern w:val="2"/>
          <w:szCs w:val="32"/>
          <w:shd w:val="clear" w:color="auto" w:fill="FFFFFF"/>
        </w:rPr>
        <w:t>（一）加强组织领导</w:t>
      </w:r>
      <w:r>
        <w:rPr>
          <w:rFonts w:hint="eastAsia" w:ascii="Times New Roman" w:hAnsi="Times New Roman" w:eastAsia="方正楷体_GBK" w:cs="方正楷体_GBK"/>
          <w:kern w:val="2"/>
          <w:szCs w:val="32"/>
          <w:shd w:val="clear" w:color="auto" w:fill="FFFFFF"/>
        </w:rPr>
        <w:t>。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建立市级工作专班，加强统筹协调和督促指导。市发展改革委会同市级相关部门建立工作协调机制，加强政策协同，及时协同解决工作中遇到的问题。鼓励依法依规成立银发经济领域社会组织，深化产业研究、资源整合、行业自律。各区县政府要认真组织实施，抓好各项任务落实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textAlignment w:val="auto"/>
        <w:outlineLvl w:val="1"/>
        <w:rPr>
          <w:rFonts w:ascii="Times New Roman" w:hAnsi="Times New Roman"/>
          <w:kern w:val="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kern w:val="2"/>
          <w:szCs w:val="32"/>
          <w:shd w:val="clear" w:color="auto" w:fill="FFFFFF"/>
        </w:rPr>
        <w:t>（二）</w:t>
      </w:r>
      <w:r>
        <w:rPr>
          <w:rFonts w:ascii="Times New Roman" w:hAnsi="Times New Roman" w:eastAsia="方正楷体_GBK" w:cs="方正楷体_GBK"/>
          <w:kern w:val="2"/>
          <w:szCs w:val="32"/>
          <w:shd w:val="clear" w:color="auto" w:fill="FFFFFF"/>
        </w:rPr>
        <w:t>加强</w:t>
      </w:r>
      <w:r>
        <w:rPr>
          <w:rFonts w:hint="eastAsia" w:ascii="Times New Roman" w:hAnsi="Times New Roman" w:eastAsia="方正楷体_GBK" w:cs="方正楷体_GBK"/>
          <w:kern w:val="2"/>
          <w:szCs w:val="32"/>
          <w:shd w:val="clear" w:color="auto" w:fill="FFFFFF"/>
        </w:rPr>
        <w:t>评价监测。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建立健全银发经济发展评价体系，通过赛马比拼、五色图等方式，对各级各部门工作开展情况进行评估。各级各部门要压实工作责任，健全完善完善目标责任体系，加强督促检查，形成系统集成、精准施策、闭环管理的工作机制。市级部门要强化对银发经济重点领域、重点区域的动态监测，健全第三方评估机制，适时对执行情况进行评估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jc w:val="both"/>
        <w:textAlignment w:val="auto"/>
        <w:outlineLvl w:val="1"/>
        <w:rPr>
          <w:rFonts w:hint="eastAsia" w:ascii="Times New Roman" w:hAnsi="Times New Roman"/>
          <w:kern w:val="2"/>
          <w:szCs w:val="32"/>
          <w:shd w:val="clear" w:color="auto" w:fill="FFFFFF"/>
        </w:rPr>
      </w:pPr>
      <w:r>
        <w:rPr>
          <w:rFonts w:ascii="Times New Roman" w:hAnsi="Times New Roman" w:eastAsia="方正楷体_GBK" w:cs="方正楷体_GBK"/>
          <w:kern w:val="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楷体_GBK" w:cs="方正楷体_GBK"/>
          <w:kern w:val="2"/>
          <w:szCs w:val="32"/>
          <w:shd w:val="clear" w:color="auto" w:fill="FFFFFF"/>
        </w:rPr>
        <w:t>三</w:t>
      </w:r>
      <w:r>
        <w:rPr>
          <w:rFonts w:ascii="Times New Roman" w:hAnsi="Times New Roman" w:eastAsia="方正楷体_GBK" w:cs="方正楷体_GBK"/>
          <w:kern w:val="2"/>
          <w:szCs w:val="32"/>
          <w:shd w:val="clear" w:color="auto" w:fill="FFFFFF"/>
        </w:rPr>
        <w:t>）加强宣传</w:t>
      </w:r>
      <w:r>
        <w:rPr>
          <w:rFonts w:hint="eastAsia" w:ascii="Times New Roman" w:hAnsi="Times New Roman" w:eastAsia="方正楷体_GBK" w:cs="方正楷体_GBK"/>
          <w:kern w:val="2"/>
          <w:szCs w:val="32"/>
          <w:shd w:val="clear" w:color="auto" w:fill="FFFFFF"/>
        </w:rPr>
        <w:t>引导。</w:t>
      </w:r>
      <w:r>
        <w:rPr>
          <w:rFonts w:ascii="Times New Roman" w:hAnsi="Times New Roman" w:cs="方正仿宋_GBK"/>
          <w:kern w:val="2"/>
          <w:szCs w:val="32"/>
        </w:rPr>
        <w:t>充分发挥新闻媒体的舆论导向作用，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多渠道开展政策宣传解读，</w:t>
      </w:r>
      <w:r>
        <w:rPr>
          <w:rFonts w:ascii="Times New Roman" w:hAnsi="Times New Roman" w:cs="方正仿宋_GBK"/>
          <w:kern w:val="2"/>
          <w:szCs w:val="32"/>
        </w:rPr>
        <w:t>进一步提高社会关注度和认知度。积极</w:t>
      </w:r>
      <w:r>
        <w:rPr>
          <w:rFonts w:hint="eastAsia" w:ascii="Times New Roman" w:hAnsi="Times New Roman" w:cs="方正仿宋_GBK"/>
          <w:kern w:val="2"/>
          <w:szCs w:val="32"/>
        </w:rPr>
        <w:t>培育</w:t>
      </w:r>
      <w:r>
        <w:rPr>
          <w:rFonts w:hint="eastAsia" w:ascii="Times New Roman" w:hAnsi="Times New Roman"/>
          <w:kern w:val="2"/>
          <w:szCs w:val="32"/>
          <w:shd w:val="clear" w:color="auto" w:fill="FFFFFF"/>
        </w:rPr>
        <w:t>银发经济发展典型案例、创新实践和重要成果，及时宣传典型做法和案例，营造良好社会氛围。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firstLine="632" w:firstLineChars="200"/>
        <w:jc w:val="both"/>
        <w:textAlignment w:val="auto"/>
        <w:outlineLvl w:val="1"/>
        <w:rPr>
          <w:rFonts w:hint="eastAsia" w:ascii="Times New Roman" w:hAnsi="Times New Roman"/>
          <w:kern w:val="2"/>
          <w:szCs w:val="32"/>
          <w:shd w:val="clear" w:color="auto" w:fill="FFFFFF"/>
        </w:rPr>
      </w:pPr>
    </w:p>
    <w:p>
      <w:pPr>
        <w:spacing w:before="0" w:beforeLines="0" w:after="0" w:afterLines="0"/>
        <w:ind w:firstLine="632" w:firstLineChars="200"/>
        <w:outlineLvl w:val="1"/>
        <w:rPr>
          <w:rFonts w:hint="eastAsia" w:ascii="Times New Roman" w:hAnsi="Times New Roman"/>
          <w:kern w:val="2"/>
          <w:szCs w:val="32"/>
          <w:shd w:val="clear" w:color="auto" w:fill="FFFFFF"/>
        </w:rPr>
      </w:pPr>
    </w:p>
    <w:p/>
    <w:p>
      <w:pPr>
        <w:spacing w:before="0" w:beforeLines="0" w:after="0" w:afterLines="0"/>
        <w:ind w:firstLine="632" w:firstLineChars="200"/>
        <w:outlineLvl w:val="1"/>
        <w:rPr>
          <w:rFonts w:hint="eastAsia" w:ascii="Times New Roman" w:hAnsi="Times New Roman"/>
          <w:kern w:val="2"/>
          <w:szCs w:val="32"/>
          <w:shd w:val="clear" w:color="auto" w:fill="FFFFFF"/>
        </w:rPr>
      </w:pPr>
    </w:p>
    <w:p>
      <w:pPr>
        <w:spacing w:before="0" w:beforeLines="0" w:after="0" w:afterLines="0"/>
        <w:ind w:firstLine="632" w:firstLineChars="200"/>
        <w:outlineLvl w:val="1"/>
        <w:rPr>
          <w:rFonts w:hint="eastAsia" w:ascii="Times New Roman" w:hAnsi="Times New Roman"/>
          <w:kern w:val="2"/>
          <w:szCs w:val="32"/>
          <w:shd w:val="clear" w:color="auto" w:fill="FFFFFF"/>
        </w:rPr>
      </w:pPr>
    </w:p>
    <w:p>
      <w:pPr>
        <w:spacing w:before="0" w:beforeLines="0" w:after="0" w:afterLines="0"/>
        <w:ind w:firstLine="632" w:firstLineChars="200"/>
        <w:outlineLvl w:val="1"/>
        <w:rPr>
          <w:rFonts w:hint="eastAsia" w:ascii="Times New Roman" w:hAnsi="Times New Roman"/>
          <w:kern w:val="2"/>
          <w:szCs w:val="32"/>
          <w:shd w:val="clear" w:color="auto" w:fill="FFFFFF"/>
        </w:rPr>
      </w:pPr>
    </w:p>
    <w:p>
      <w:pPr>
        <w:spacing w:before="0" w:beforeLines="0" w:after="0" w:afterLines="0"/>
        <w:ind w:firstLine="632" w:firstLineChars="200"/>
        <w:outlineLvl w:val="1"/>
        <w:rPr>
          <w:rFonts w:hint="eastAsia" w:ascii="Times New Roman" w:hAnsi="Times New Roman"/>
          <w:kern w:val="2"/>
          <w:szCs w:val="32"/>
          <w:shd w:val="clear" w:color="auto" w:fill="FFFFFF"/>
        </w:rPr>
      </w:pPr>
    </w:p>
    <w:p>
      <w:pPr>
        <w:spacing w:before="0" w:beforeLines="0" w:after="0" w:afterLines="0"/>
        <w:ind w:firstLine="632" w:firstLineChars="200"/>
        <w:outlineLvl w:val="1"/>
        <w:rPr>
          <w:rFonts w:hint="eastAsia" w:ascii="Times New Roman" w:hAnsi="Times New Roman"/>
          <w:kern w:val="2"/>
          <w:szCs w:val="32"/>
          <w:shd w:val="clear" w:color="auto" w:fill="FFFFFF"/>
        </w:rPr>
      </w:pPr>
    </w:p>
    <w:p>
      <w:pPr>
        <w:spacing w:before="0" w:beforeLines="0" w:after="0" w:afterLines="0"/>
        <w:ind w:firstLine="632" w:firstLineChars="200"/>
        <w:outlineLvl w:val="1"/>
        <w:rPr>
          <w:rFonts w:hint="eastAsia" w:ascii="Times New Roman" w:hAnsi="Times New Roman"/>
          <w:kern w:val="2"/>
          <w:szCs w:val="32"/>
          <w:shd w:val="clear" w:color="auto" w:fill="FFFFFF"/>
        </w:rPr>
      </w:pPr>
    </w:p>
    <w:p>
      <w:pPr>
        <w:spacing w:before="0" w:beforeLines="0" w:after="0" w:afterLines="0"/>
        <w:ind w:firstLine="632" w:firstLineChars="200"/>
        <w:outlineLvl w:val="1"/>
        <w:rPr>
          <w:rFonts w:hint="eastAsia" w:ascii="Times New Roman" w:hAnsi="Times New Roman"/>
          <w:kern w:val="2"/>
          <w:szCs w:val="32"/>
          <w:shd w:val="clear" w:color="auto" w:fill="FFFFFF"/>
        </w:rPr>
      </w:pPr>
    </w:p>
    <w:p>
      <w:pPr>
        <w:pStyle w:val="6"/>
        <w:spacing w:before="0" w:beforeLines="0" w:after="0" w:afterLines="0"/>
      </w:pPr>
    </w:p>
    <w:p>
      <w:pPr>
        <w:pStyle w:val="6"/>
        <w:spacing w:before="0" w:beforeLines="0" w:after="0" w:afterLines="0"/>
      </w:pPr>
    </w:p>
    <w:p>
      <w:pPr>
        <w:pStyle w:val="6"/>
        <w:spacing w:before="0" w:beforeLines="0" w:after="0" w:afterLines="0"/>
      </w:pPr>
    </w:p>
    <w:p>
      <w:pPr>
        <w:pStyle w:val="6"/>
        <w:spacing w:before="0" w:beforeLines="0" w:after="0" w:afterLines="0"/>
      </w:pPr>
    </w:p>
    <w:p>
      <w:pPr>
        <w:pStyle w:val="6"/>
        <w:spacing w:before="0" w:beforeLines="0" w:after="0" w:afterLines="0"/>
      </w:pPr>
    </w:p>
    <w:p>
      <w:pPr>
        <w:pStyle w:val="6"/>
        <w:spacing w:before="0" w:beforeLines="0" w:after="0" w:afterLines="0"/>
      </w:pPr>
    </w:p>
    <w:p>
      <w:pPr>
        <w:pStyle w:val="6"/>
        <w:spacing w:before="0" w:beforeLines="0" w:after="0" w:afterLines="0"/>
      </w:pPr>
    </w:p>
    <w:p>
      <w:pPr>
        <w:pStyle w:val="6"/>
        <w:spacing w:before="0" w:beforeLines="0" w:after="0" w:afterLines="0"/>
      </w:pPr>
    </w:p>
    <w:p>
      <w:pPr>
        <w:wordWrap/>
        <w:overflowPunct/>
        <w:adjustRightInd/>
        <w:spacing w:beforeLines="0" w:afterLines="0" w:line="240" w:lineRule="auto"/>
        <w:ind w:firstLine="0" w:firstLineChars="0"/>
        <w:jc w:val="left"/>
        <w:rPr>
          <w:rFonts w:hint="eastAsia" w:ascii="Times New Roman" w:hAnsi="Times New Roman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5627370" cy="15240"/>
                <wp:effectExtent l="0" t="4445" r="11430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7370" cy="15240"/>
                        </a:xfrm>
                        <a:prstGeom prst="line">
                          <a:avLst/>
                        </a:prstGeom>
                        <a:noFill/>
                        <a:ln w="444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0pt;height:1.2pt;width:443.1pt;z-index:251661312;mso-width-relative:page;mso-height-relative:page;" filled="f" stroked="t" coordsize="21600,21600" o:gfxdata="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doMAfUAAAABAEAAA8A&#10;AAAAAAAAAQAgAAAAIgAAAGRycy9kb3ducmV2LnhtbFBLAQIUABQAAAAIAIdO4kD4orqH4gEAAKwD&#10;AAAOAAAAAAAAAAEAIAAAACMBAABkcnMvZTJvRG9jLnhtbFBLBQYAAAAABgAGAFkBAAB3BQAAAAA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367665</wp:posOffset>
                </wp:positionV>
                <wp:extent cx="5627370" cy="15240"/>
                <wp:effectExtent l="0" t="4445" r="11430" b="88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2185" y="4633595"/>
                          <a:ext cx="5627370" cy="15240"/>
                        </a:xfrm>
                        <a:prstGeom prst="line">
                          <a:avLst/>
                        </a:prstGeom>
                        <a:noFill/>
                        <a:ln w="444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28.95pt;height:1.2pt;width:443.1pt;z-index:251660288;mso-width-relative:page;mso-height-relative:page;" filled="f" stroked="t" coordsize="21600,21600" o:gfxdata="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CLxo9cAAAAGAQAADwAAAAAAAAABACAAAAAiAAAAZHJzL2Rvd25yZXYueG1sUEsBAhQAFAAA&#10;AAgAh07iQEm9ESDwAQAAtwMAAA4AAAAAAAAAAQAgAAAAJgEAAGRycy9lMm9Eb2MueG1sUEsFBgAA&#10;AAAGAAYAWQEAAIg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重庆市发展和改革委员会办公室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2024年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日印发  </w:t>
      </w:r>
    </w:p>
    <w:sectPr>
      <w:headerReference r:id="rId5" w:type="default"/>
      <w:footerReference r:id="rId6" w:type="default"/>
      <w:pgSz w:w="11906" w:h="16838"/>
      <w:pgMar w:top="2098" w:right="1531" w:bottom="1984" w:left="1531" w:header="851" w:footer="1417" w:gutter="0"/>
      <w:pgNumType w:fmt="numberInDash"/>
      <w:cols w:space="72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7296" w:leftChars="2280" w:firstLine="6400" w:firstLineChars="2000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s2sTMkBAACZAwAADgAAAGRycy9lMm9Eb2MueG1srVPNjtMwEL4j8Q6W&#10;79TZI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Oza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9"/>
      <w:jc w:val="right"/>
      <w:rPr>
        <w:rFonts w:hint="eastAsia"/>
        <w:color w:val="FAFAFA"/>
        <w:sz w:val="28"/>
        <w:szCs w:val="28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</w:rPr>
      <w:t xml:space="preserve"> </w:t>
    </w:r>
  </w:p>
  <w:p>
    <w:pPr>
      <w:pStyle w:val="9"/>
      <w:ind w:firstLine="4498" w:firstLineChars="1600"/>
      <w:jc w:val="both"/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重庆市发展和改革委员会发布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adjustRightInd/>
      <w:jc w:val="both"/>
      <w:textAlignment w:val="center"/>
      <w:rPr>
        <w:rFonts w:hint="eastAsia" w:ascii="方正仿宋_GBK" w:hAnsi="方正仿宋_GBK" w:cs="方正仿宋_GBK"/>
        <w:b/>
        <w:bCs/>
        <w:color w:val="000000"/>
        <w:sz w:val="32"/>
      </w:rPr>
    </w:pPr>
    <w:r>
      <w:rPr>
        <w:rFonts w:hint="eastAsia" w:ascii="方正仿宋_GBK" w:hAnsi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lIsuz9wEAAMsDAAAOAAAAZHJzL2Uyb0RvYy54bWytU02O0zAU&#10;3iNxB8t7mjTTlhI1ncVUwwZBJeAArmMnlvwnP0/TXoILILGDFUv23IbhGDw7YRi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viD4QPEl8IZkoKGamUTfVaz4yuI2BdLf5ekZeuuldb5CrUlQ0Mr/BI0Q19K9AOG&#10;xiM3sB0lTHdoeB5DhgSnVZu2JyAI3eFKB3JkySblcv6iSqSx3V9lqfeOQT/W5dRoIKMivgmtDHIu&#10;0zft1jahi+zDiUEScpQuRQfXnrOiRZrhHeemkx+Tie7PMb7/Br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cR5KzUAAAACAEAAA8AAAAAAAAAAQAgAAAAIgAAAGRycy9kb3ducmV2LnhtbFBLAQIU&#10;ABQAAAAIAIdO4kClIsuz9wEAAMsDAAAOAAAAAAAAAAEAIAAAACMBAABkcnMvZTJvRG9jLnhtbFBL&#10;BQYAAAAABgAGAFkBAACMBQAAAAA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adjustRightInd/>
      <w:jc w:val="both"/>
      <w:textAlignment w:val="center"/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</w:rPr>
      <w:t>发展和改革委员会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58"/>
  <w:drawingGridVerticalSpacing w:val="290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MjI0Mzc2ZjIyZjY1YWY5MGM1NmE2ZGQxZTliNWMifQ=="/>
  </w:docVars>
  <w:rsids>
    <w:rsidRoot w:val="00172A27"/>
    <w:rsid w:val="006004F6"/>
    <w:rsid w:val="00FF28FF"/>
    <w:rsid w:val="019E71BD"/>
    <w:rsid w:val="01C066B5"/>
    <w:rsid w:val="041C42DA"/>
    <w:rsid w:val="04B679C3"/>
    <w:rsid w:val="05F07036"/>
    <w:rsid w:val="064E7294"/>
    <w:rsid w:val="06E00104"/>
    <w:rsid w:val="07AC7F00"/>
    <w:rsid w:val="080F63D8"/>
    <w:rsid w:val="08175CF4"/>
    <w:rsid w:val="09341458"/>
    <w:rsid w:val="098254C2"/>
    <w:rsid w:val="0A766EDE"/>
    <w:rsid w:val="0AD64BE8"/>
    <w:rsid w:val="0B0912D7"/>
    <w:rsid w:val="0D6E5E17"/>
    <w:rsid w:val="0DA472A8"/>
    <w:rsid w:val="0E025194"/>
    <w:rsid w:val="0E55037C"/>
    <w:rsid w:val="0E6D4BB0"/>
    <w:rsid w:val="113817B7"/>
    <w:rsid w:val="152D2DCA"/>
    <w:rsid w:val="15D5325E"/>
    <w:rsid w:val="17130662"/>
    <w:rsid w:val="187168EA"/>
    <w:rsid w:val="196673CA"/>
    <w:rsid w:val="1B2F4AEE"/>
    <w:rsid w:val="1CF734C9"/>
    <w:rsid w:val="1DEC284C"/>
    <w:rsid w:val="1E6523AC"/>
    <w:rsid w:val="22440422"/>
    <w:rsid w:val="22BB4BBB"/>
    <w:rsid w:val="22C27ADF"/>
    <w:rsid w:val="25DE7970"/>
    <w:rsid w:val="29A81F78"/>
    <w:rsid w:val="2AEB3417"/>
    <w:rsid w:val="2D3F32A5"/>
    <w:rsid w:val="2D502E74"/>
    <w:rsid w:val="2DCC28F7"/>
    <w:rsid w:val="2EB3386F"/>
    <w:rsid w:val="2F002161"/>
    <w:rsid w:val="2F541F27"/>
    <w:rsid w:val="31A15F24"/>
    <w:rsid w:val="324A1681"/>
    <w:rsid w:val="34F12209"/>
    <w:rsid w:val="34FD541C"/>
    <w:rsid w:val="36FB1DF0"/>
    <w:rsid w:val="395347B5"/>
    <w:rsid w:val="39A232A0"/>
    <w:rsid w:val="39E745AA"/>
    <w:rsid w:val="3B114B39"/>
    <w:rsid w:val="3B5A6BBB"/>
    <w:rsid w:val="3D437488"/>
    <w:rsid w:val="3D6A2620"/>
    <w:rsid w:val="3E2E249C"/>
    <w:rsid w:val="3E6857F3"/>
    <w:rsid w:val="3EDA13A6"/>
    <w:rsid w:val="417B75E9"/>
    <w:rsid w:val="42F058B7"/>
    <w:rsid w:val="436109F6"/>
    <w:rsid w:val="441A38D4"/>
    <w:rsid w:val="4504239D"/>
    <w:rsid w:val="4641064B"/>
    <w:rsid w:val="4AD86038"/>
    <w:rsid w:val="4B330F0C"/>
    <w:rsid w:val="4B99640F"/>
    <w:rsid w:val="4BC77339"/>
    <w:rsid w:val="4BF22B1F"/>
    <w:rsid w:val="4C5C0629"/>
    <w:rsid w:val="4C9236C5"/>
    <w:rsid w:val="4E250A85"/>
    <w:rsid w:val="4E464D75"/>
    <w:rsid w:val="4E897B30"/>
    <w:rsid w:val="4F551E0D"/>
    <w:rsid w:val="4FFD4925"/>
    <w:rsid w:val="505C172E"/>
    <w:rsid w:val="506405EA"/>
    <w:rsid w:val="52F46F0B"/>
    <w:rsid w:val="532B6A10"/>
    <w:rsid w:val="534C11B1"/>
    <w:rsid w:val="53D8014D"/>
    <w:rsid w:val="55003B4B"/>
    <w:rsid w:val="55B27C89"/>
    <w:rsid w:val="55E064E0"/>
    <w:rsid w:val="572C6D10"/>
    <w:rsid w:val="57732A03"/>
    <w:rsid w:val="579F129B"/>
    <w:rsid w:val="598249B2"/>
    <w:rsid w:val="5A4061C0"/>
    <w:rsid w:val="5D7E310A"/>
    <w:rsid w:val="5DC34279"/>
    <w:rsid w:val="5E8A52F7"/>
    <w:rsid w:val="5FCD688E"/>
    <w:rsid w:val="5FF9BDAA"/>
    <w:rsid w:val="5FFE5333"/>
    <w:rsid w:val="608816D1"/>
    <w:rsid w:val="60EF4E7F"/>
    <w:rsid w:val="627E6011"/>
    <w:rsid w:val="62876568"/>
    <w:rsid w:val="64396CAA"/>
    <w:rsid w:val="646A6756"/>
    <w:rsid w:val="648B0A32"/>
    <w:rsid w:val="652548C2"/>
    <w:rsid w:val="665233C1"/>
    <w:rsid w:val="69AC0D42"/>
    <w:rsid w:val="6A817394"/>
    <w:rsid w:val="6AD9688B"/>
    <w:rsid w:val="6BC66237"/>
    <w:rsid w:val="6D0E3F22"/>
    <w:rsid w:val="744E4660"/>
    <w:rsid w:val="74776C27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方正仿宋_GBK" w:cs="Times New Roman"/>
      <w:sz w:val="32"/>
      <w:szCs w:val="28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Lines="0" w:afterAutospacing="0"/>
    </w:pPr>
  </w:style>
  <w:style w:type="paragraph" w:styleId="6">
    <w:name w:val="Body Text 2"/>
    <w:basedOn w:val="1"/>
    <w:qFormat/>
    <w:uiPriority w:val="0"/>
    <w:pPr>
      <w:adjustRightInd/>
      <w:spacing w:before="60" w:after="60" w:line="240" w:lineRule="auto"/>
      <w:textAlignment w:val="auto"/>
    </w:pPr>
    <w:rPr>
      <w:rFonts w:ascii="Arial" w:hAnsi="Arial" w:eastAsia="仿宋_GB2312"/>
      <w:spacing w:val="-5"/>
      <w:kern w:val="2"/>
      <w:lang w:val="zh-CN" w:eastAsia="en-US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Balloon Text"/>
    <w:basedOn w:val="1"/>
    <w:link w:val="18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next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5"/>
    <w:qFormat/>
    <w:uiPriority w:val="0"/>
    <w:pPr>
      <w:ind w:firstLine="420" w:firstLineChars="100"/>
    </w:pPr>
  </w:style>
  <w:style w:type="paragraph" w:styleId="13">
    <w:name w:val="Body Text First Indent 2"/>
    <w:basedOn w:val="7"/>
    <w:next w:val="12"/>
    <w:qFormat/>
    <w:uiPriority w:val="0"/>
    <w:pPr>
      <w:ind w:firstLine="420" w:firstLineChars="200"/>
    </w:p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批注框文本 Char"/>
    <w:basedOn w:val="15"/>
    <w:link w:val="8"/>
    <w:qFormat/>
    <w:uiPriority w:val="0"/>
    <w:rPr>
      <w:rFonts w:eastAsia="方正仿宋_GBK"/>
      <w:sz w:val="18"/>
      <w:szCs w:val="18"/>
    </w:rPr>
  </w:style>
  <w:style w:type="paragraph" w:customStyle="1" w:styleId="19">
    <w:name w:val="默认"/>
    <w:qFormat/>
    <w:uiPriority w:val="0"/>
    <w:pPr>
      <w:spacing w:after="160" w:line="259" w:lineRule="auto"/>
    </w:pPr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1">
    <w:name w:val="正文首缩两字 Char"/>
    <w:basedOn w:val="1"/>
    <w:qFormat/>
    <w:uiPriority w:val="99"/>
    <w:rPr>
      <w:rFonts w:ascii="Verdana" w:hAnsi="Verdana"/>
      <w:bCs/>
    </w:rPr>
  </w:style>
  <w:style w:type="paragraph" w:customStyle="1" w:styleId="22">
    <w:name w:val="Body text|1"/>
    <w:basedOn w:val="1"/>
    <w:qFormat/>
    <w:uiPriority w:val="0"/>
    <w:pPr>
      <w:spacing w:line="41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3">
    <w:name w:val="方正仿宋"/>
    <w:basedOn w:val="1"/>
    <w:qFormat/>
    <w:uiPriority w:val="0"/>
    <w:pPr>
      <w:adjustRightInd/>
      <w:spacing w:line="240" w:lineRule="auto"/>
      <w:ind w:firstLine="6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2333</Words>
  <Characters>2365</Characters>
  <Lines>29</Lines>
  <Paragraphs>8</Paragraphs>
  <TotalTime>1</TotalTime>
  <ScaleCrop>false</ScaleCrop>
  <LinksUpToDate>false</LinksUpToDate>
  <CharactersWithSpaces>2365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王宗瑄</cp:lastModifiedBy>
  <cp:lastPrinted>2022-05-12T00:46:00Z</cp:lastPrinted>
  <dcterms:modified xsi:type="dcterms:W3CDTF">2024-12-06T06:27:10Z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E8E6450404994E26BAD37409B4D46ABF</vt:lpwstr>
  </property>
</Properties>
</file>