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rPr>
          <w:rFonts w:hint="eastAsia" w:ascii="方正仿宋_GBK" w:hAnsi="方正仿宋_GBK" w:cs="方正仿宋_GBK"/>
          <w:bCs w:val="0"/>
          <w:color w:val="auto"/>
        </w:rPr>
      </w:pPr>
      <w:bookmarkStart w:id="0" w:name="_GoBack"/>
      <w:bookmarkEnd w:id="0"/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distribute"/>
              <w:textAlignment w:val="center"/>
              <w:rPr>
                <w:rFonts w:hint="eastAsia" w:ascii="Times New Roman" w:hAnsi="Times New Roman" w:eastAsia="Times New Roman" w:cs="方正仿宋_GBK"/>
                <w:color w:val="171A1D"/>
                <w:kern w:val="0"/>
                <w:sz w:val="20"/>
                <w:szCs w:val="20"/>
                <w:shd w:val="clear" w:color="auto" w:fill="FFFFFF"/>
                <w:vertAlign w:val="baseline"/>
              </w:rPr>
            </w:pPr>
            <w:r>
              <w:rPr>
                <w:rFonts w:eastAsia="方正小标宋_GBK"/>
                <w:bCs/>
                <w:kern w:val="2"/>
                <w:sz w:val="44"/>
                <w:szCs w:val="44"/>
              </w:rPr>
              <w:t>重庆市发展和改革委员会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distribute"/>
              <w:textAlignment w:val="center"/>
              <w:rPr>
                <w:rFonts w:hint="eastAsia" w:ascii="Times New Roman" w:hAnsi="Times New Roman" w:eastAsia="Times New Roman" w:cs="方正仿宋_GBK"/>
                <w:color w:val="171A1D"/>
                <w:kern w:val="0"/>
                <w:sz w:val="20"/>
                <w:szCs w:val="20"/>
                <w:shd w:val="clear" w:color="auto" w:fill="FFFFFF"/>
                <w:vertAlign w:val="baseline"/>
              </w:rPr>
            </w:pPr>
            <w:r>
              <w:rPr>
                <w:rFonts w:hint="eastAsia" w:eastAsia="方正小标宋_GBK"/>
                <w:bCs/>
                <w:kern w:val="2"/>
                <w:sz w:val="44"/>
                <w:szCs w:val="44"/>
              </w:rPr>
              <w:t>重庆市财政局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firstLine="0" w:firstLineChars="0"/>
        <w:jc w:val="center"/>
        <w:textAlignment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2"/>
          <w:sz w:val="44"/>
          <w:szCs w:val="44"/>
        </w:rPr>
        <w:t>关于</w:t>
      </w:r>
      <w:r>
        <w:rPr>
          <w:rFonts w:hint="eastAsia" w:eastAsia="方正小标宋_GBK"/>
          <w:bCs/>
          <w:kern w:val="2"/>
          <w:sz w:val="44"/>
          <w:szCs w:val="44"/>
        </w:rPr>
        <w:t>印发</w:t>
      </w:r>
      <w:r>
        <w:rPr>
          <w:rFonts w:eastAsia="方正小标宋_GBK"/>
          <w:bCs/>
          <w:kern w:val="2"/>
          <w:sz w:val="44"/>
          <w:szCs w:val="44"/>
        </w:rPr>
        <w:t>重庆市支持现代生产性服务业</w:t>
      </w:r>
    </w:p>
    <w:p>
      <w:pPr>
        <w:overflowPunct w:val="0"/>
        <w:adjustRightInd/>
        <w:spacing w:beforeLines="0" w:after="0" w:afterLines="0" w:line="580" w:lineRule="exact"/>
        <w:jc w:val="center"/>
        <w:textAlignment w:val="center"/>
        <w:rPr>
          <w:rFonts w:hint="eastAsia" w:ascii="方正仿宋_GBK" w:hAnsi="方正仿宋_GBK" w:cs="方正仿宋_GBK"/>
          <w:color w:val="auto"/>
          <w:lang w:val="en-US" w:eastAsia="zh-CN"/>
        </w:rPr>
      </w:pPr>
      <w:r>
        <w:rPr>
          <w:rFonts w:eastAsia="方正小标宋_GBK"/>
          <w:bCs/>
          <w:kern w:val="2"/>
          <w:sz w:val="44"/>
          <w:szCs w:val="44"/>
        </w:rPr>
        <w:t>高质量发展若干政策措施的</w:t>
      </w:r>
      <w:r>
        <w:rPr>
          <w:rFonts w:hint="eastAsia" w:eastAsia="方正小标宋_GBK"/>
          <w:bCs/>
          <w:kern w:val="2"/>
          <w:sz w:val="44"/>
          <w:szCs w:val="44"/>
        </w:rPr>
        <w:t>通知</w:t>
      </w:r>
    </w:p>
    <w:p>
      <w:pPr>
        <w:overflowPunct w:val="0"/>
        <w:adjustRightInd/>
        <w:spacing w:after="0" w:line="240" w:lineRule="auto"/>
        <w:jc w:val="center"/>
        <w:textAlignment w:val="auto"/>
        <w:rPr>
          <w:rFonts w:hint="eastAsia" w:ascii="方正仿宋_GBK" w:hAnsi="方正仿宋_GBK" w:cs="方正仿宋_GBK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</w:rPr>
        <w:t>渝发改规范〔2024〕</w:t>
      </w:r>
      <w:r>
        <w:rPr>
          <w:rFonts w:hint="eastAsia" w:ascii="方正仿宋_GBK" w:hAnsi="方正仿宋_GBK" w:cs="方正仿宋_GBK"/>
          <w:kern w:val="2"/>
          <w:lang w:eastAsia="zh-CN"/>
        </w:rPr>
        <w:t>7</w:t>
      </w:r>
      <w:r>
        <w:rPr>
          <w:rFonts w:hint="eastAsia" w:ascii="方正仿宋_GBK" w:hAnsi="方正仿宋_GBK" w:eastAsia="方正仿宋_GBK" w:cs="方正仿宋_GBK"/>
          <w:kern w:val="2"/>
        </w:rPr>
        <w:t>号</w:t>
      </w:r>
    </w:p>
    <w:p>
      <w:pPr>
        <w:overflowPunct w:val="0"/>
        <w:adjustRightInd/>
        <w:spacing w:after="0" w:line="240" w:lineRule="auto"/>
        <w:textAlignment w:val="auto"/>
        <w:rPr>
          <w:rFonts w:hint="eastAsia" w:ascii="方正仿宋_GBK" w:hAnsi="方正仿宋_GBK" w:cs="方正仿宋_GBK"/>
          <w:color w:val="auto"/>
          <w:lang w:val="en-US" w:eastAsia="zh-CN"/>
        </w:rPr>
      </w:pPr>
    </w:p>
    <w:p>
      <w:pPr>
        <w:widowControl w:val="0"/>
        <w:suppressAutoHyphens/>
        <w:overflowPunct w:val="0"/>
        <w:bidi w:val="0"/>
        <w:adjustRightInd/>
        <w:spacing w:before="0" w:beforeLines="0" w:after="0" w:afterLines="0" w:line="240" w:lineRule="auto"/>
        <w:jc w:val="both"/>
        <w:textAlignment w:val="auto"/>
        <w:rPr>
          <w:rFonts w:hint="eastAsia" w:ascii="方正仿宋_GBK" w:hAnsi="方正仿宋_GBK" w:cs="方正仿宋_GBK"/>
          <w:lang w:bidi="ar"/>
        </w:rPr>
      </w:pPr>
      <w:r>
        <w:rPr>
          <w:rFonts w:hint="eastAsia" w:ascii="方正仿宋_GBK" w:hAnsi="方正仿宋_GBK" w:cs="方正仿宋_GBK"/>
          <w:lang w:bidi="ar"/>
        </w:rPr>
        <w:t>各区县（自治县）人民政府，市政府有关部门，有关单位：</w:t>
      </w:r>
    </w:p>
    <w:p>
      <w:pPr>
        <w:widowControl w:val="0"/>
        <w:suppressAutoHyphens/>
        <w:overflowPunct w:val="0"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hint="eastAsia" w:ascii="方正仿宋_GBK" w:hAnsi="方正仿宋_GBK" w:cs="方正仿宋_GBK"/>
        </w:rPr>
      </w:pPr>
      <w:r>
        <w:rPr>
          <w:rFonts w:hint="eastAsia" w:cs="方正仿宋_GBK"/>
        </w:rPr>
        <w:t>根据《重庆市加速推进现代生产性服务业高质量发展行动方案（2024—2027年）》（渝府发〔2024〕18号）要求，推动生产性服务业向专业化和价值链高端延伸，着力构建优质高效、布局合理、融合共享的生产性服务业新体系，特制定《重庆市支持现代生产性服务业高质量发展若干政策措施》。</w:t>
      </w:r>
      <w:r>
        <w:rPr>
          <w:rFonts w:hint="eastAsia" w:ascii="方正仿宋_GBK" w:hAnsi="方正仿宋_GBK" w:cs="方正仿宋_GBK"/>
        </w:rPr>
        <w:t>经市政府同意，现印发给你们，请认真贯彻执行。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before="0" w:beforeLines="0" w:beforeAutospacing="0" w:after="0" w:afterLines="0" w:afterAutospacing="0" w:line="240" w:lineRule="auto"/>
        <w:ind w:firstLine="0" w:firstLineChars="0"/>
        <w:textAlignment w:val="auto"/>
        <w:outlineLvl w:val="9"/>
        <w:rPr>
          <w:rFonts w:eastAsia="方正黑体_GBK"/>
          <w:kern w:val="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before="0" w:beforeLines="0" w:beforeAutospacing="0" w:after="0" w:afterLines="0" w:afterAutospacing="0" w:line="240" w:lineRule="auto"/>
        <w:ind w:firstLine="0" w:firstLineChars="0"/>
        <w:textAlignment w:val="auto"/>
        <w:outlineLvl w:val="9"/>
        <w:rPr>
          <w:rFonts w:eastAsia="方正黑体_GBK"/>
          <w:kern w:val="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before="0" w:beforeLines="0" w:beforeAutospacing="0" w:after="0" w:afterLines="0" w:afterAutospacing="0" w:line="240" w:lineRule="auto"/>
        <w:ind w:firstLine="0" w:firstLineChars="0"/>
        <w:textAlignment w:val="auto"/>
        <w:outlineLvl w:val="9"/>
        <w:rPr>
          <w:rFonts w:eastAsia="方正黑体_GBK"/>
          <w:kern w:val="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0" w:firstLineChars="0"/>
        <w:textAlignment w:val="center"/>
        <w:outlineLvl w:val="9"/>
        <w:rPr>
          <w:kern w:val="2"/>
        </w:rPr>
      </w:pPr>
      <w:r>
        <w:rPr>
          <w:rFonts w:hint="eastAsia"/>
          <w:kern w:val="2"/>
        </w:rPr>
        <w:t xml:space="preserve">  </w:t>
      </w:r>
      <w:r>
        <w:rPr>
          <w:kern w:val="2"/>
        </w:rPr>
        <w:t xml:space="preserve">重庆市发展和改革委员会  </w:t>
      </w:r>
      <w:r>
        <w:rPr>
          <w:rFonts w:hint="eastAsia"/>
          <w:kern w:val="2"/>
        </w:rPr>
        <w:t xml:space="preserve">        重庆市财政局</w:t>
      </w:r>
    </w:p>
    <w:p>
      <w:pPr>
        <w:overflowPunct w:val="0"/>
        <w:adjustRightInd/>
        <w:spacing w:after="0" w:line="240" w:lineRule="auto"/>
        <w:textAlignment w:val="auto"/>
        <w:rPr>
          <w:rFonts w:hint="eastAsia" w:ascii="方正仿宋_GBK" w:hAnsi="方正仿宋_GBK" w:cs="方正仿宋_GBK"/>
          <w:color w:val="auto"/>
          <w:lang w:val="en-US" w:eastAsia="zh-CN"/>
        </w:rPr>
      </w:pPr>
      <w:r>
        <w:rPr>
          <w:kern w:val="2"/>
        </w:rPr>
        <w:t xml:space="preserve">                   </w:t>
      </w:r>
      <w:r>
        <w:rPr>
          <w:rFonts w:hint="eastAsia"/>
          <w:kern w:val="2"/>
        </w:rPr>
        <w:t xml:space="preserve">          </w:t>
      </w:r>
      <w:r>
        <w:rPr>
          <w:kern w:val="2"/>
        </w:rPr>
        <w:t xml:space="preserve"> </w:t>
      </w:r>
      <w:r>
        <w:rPr>
          <w:rFonts w:hint="eastAsia"/>
          <w:kern w:val="2"/>
        </w:rPr>
        <w:t xml:space="preserve"> </w:t>
      </w:r>
      <w:r>
        <w:rPr>
          <w:kern w:val="2"/>
        </w:rPr>
        <w:t xml:space="preserve"> 2024年</w:t>
      </w:r>
      <w:r>
        <w:rPr>
          <w:rFonts w:hint="eastAsia"/>
          <w:kern w:val="2"/>
        </w:rPr>
        <w:t>11</w:t>
      </w:r>
      <w:r>
        <w:rPr>
          <w:kern w:val="2"/>
        </w:rPr>
        <w:t>月</w:t>
      </w:r>
      <w:r>
        <w:rPr>
          <w:rFonts w:hint="eastAsia"/>
          <w:kern w:val="2"/>
          <w:lang w:val="en-US" w:eastAsia="zh-CN"/>
        </w:rPr>
        <w:t>19</w:t>
      </w:r>
      <w:r>
        <w:rPr>
          <w:kern w:val="2"/>
        </w:rPr>
        <w:t>日</w:t>
      </w:r>
      <w:r>
        <w:rPr>
          <w:rFonts w:hint="eastAsia"/>
          <w:kern w:val="2"/>
        </w:rPr>
        <w:t xml:space="preserve">     </w:t>
      </w:r>
      <w:r>
        <w:rPr>
          <w:rFonts w:hint="eastAsia"/>
          <w:kern w:val="2"/>
          <w:lang w:val="en-US" w:eastAsia="zh-CN"/>
        </w:rPr>
        <w:t xml:space="preserve">  </w:t>
      </w:r>
      <w:r>
        <w:rPr>
          <w:rFonts w:hint="eastAsia"/>
          <w:kern w:val="2"/>
        </w:rPr>
        <w:t xml:space="preserve"> </w:t>
      </w:r>
    </w:p>
    <w:p>
      <w:pPr>
        <w:overflowPunct w:val="0"/>
        <w:adjustRightInd/>
        <w:spacing w:after="0" w:line="240" w:lineRule="auto"/>
        <w:textAlignment w:val="auto"/>
        <w:rPr>
          <w:rFonts w:hint="eastAsia" w:ascii="方正仿宋_GBK" w:hAnsi="方正仿宋_GBK" w:cs="方正仿宋_GBK"/>
          <w:color w:val="auto"/>
          <w:lang w:val="en-US" w:eastAsia="zh-CN"/>
        </w:rPr>
      </w:pPr>
    </w:p>
    <w:p>
      <w:pPr>
        <w:overflowPunct w:val="0"/>
        <w:adjustRightInd/>
        <w:spacing w:line="240" w:lineRule="auto"/>
        <w:textAlignment w:val="auto"/>
        <w:rPr>
          <w:rFonts w:hint="eastAsia" w:ascii="方正仿宋_GBK" w:hAnsi="方正仿宋_GBK" w:cs="方正仿宋_GBK"/>
          <w:color w:val="auto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2098" w:right="1531" w:bottom="1984" w:left="1531" w:header="851" w:footer="1417" w:gutter="0"/>
          <w:pgNumType w:fmt="numberInDash"/>
          <w:cols w:space="720" w:num="1"/>
          <w:rtlGutter w:val="0"/>
          <w:docGrid w:type="linesAndChars" w:linePitch="579" w:charSpace="-849"/>
        </w:sectPr>
      </w:pPr>
    </w:p>
    <w:p>
      <w:pPr>
        <w:overflowPunct w:val="0"/>
        <w:spacing w:beforeLines="0" w:afterLines="0"/>
        <w:ind w:left="0" w:leftChars="0"/>
        <w:outlineLvl w:val="9"/>
        <w:rPr>
          <w:rFonts w:hint="eastAsia" w:ascii="方正仿宋_GBK" w:hAnsi="方正仿宋_GBK" w:cs="方正仿宋_GBK"/>
          <w:color w:val="auto"/>
          <w:highlight w:val="none"/>
          <w:lang w:val="en-US" w:eastAsia="zh-CN"/>
        </w:rPr>
      </w:pPr>
    </w:p>
    <w:p>
      <w:pPr>
        <w:overflowPunct w:val="0"/>
        <w:adjustRightInd/>
        <w:snapToGrid/>
        <w:spacing w:before="0" w:beforeLines="0" w:after="0" w:afterLines="0" w:line="580" w:lineRule="exact"/>
        <w:ind w:firstLine="0" w:firstLineChars="0"/>
        <w:jc w:val="center"/>
        <w:textAlignment w:val="center"/>
        <w:rPr>
          <w:rFonts w:eastAsia="方正小标宋_GBK"/>
          <w:bCs/>
          <w:kern w:val="2"/>
          <w:sz w:val="44"/>
          <w:szCs w:val="44"/>
        </w:rPr>
      </w:pPr>
      <w:r>
        <w:rPr>
          <w:rFonts w:eastAsia="方正小标宋_GBK"/>
          <w:bCs/>
          <w:kern w:val="2"/>
          <w:sz w:val="44"/>
          <w:szCs w:val="44"/>
        </w:rPr>
        <w:t>重庆市支持现代生产性服务业高质量发展</w:t>
      </w:r>
    </w:p>
    <w:p>
      <w:pPr>
        <w:overflowPunct w:val="0"/>
        <w:adjustRightInd/>
        <w:snapToGrid/>
        <w:spacing w:before="0" w:beforeLines="0" w:after="0" w:afterLines="0" w:line="580" w:lineRule="exact"/>
        <w:ind w:firstLine="0" w:firstLineChars="0"/>
        <w:jc w:val="center"/>
        <w:textAlignment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2"/>
          <w:sz w:val="44"/>
          <w:szCs w:val="44"/>
        </w:rPr>
        <w:t>若干政策措施</w:t>
      </w:r>
    </w:p>
    <w:p>
      <w:pPr>
        <w:shd w:val="clear" w:color="auto" w:fill="auto"/>
        <w:overflowPunct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kern w:val="0"/>
        </w:rPr>
      </w:pP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cs="方正仿宋_GBK"/>
        </w:rPr>
      </w:pPr>
      <w:r>
        <w:rPr>
          <w:rFonts w:hint="eastAsia" w:cs="方正仿宋_GBK"/>
        </w:rPr>
        <w:t>根据《重庆市加速推进现代生产性服务业高质量发展行动方案（2024—2027年）》（渝府发〔2024〕18号）要求，推动生产性服务业向专业化和价值链高端延伸，着力构建优质高效、布局合理、融合共享的生产性服务业新体系，特制定如下支持措施。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eastAsia="方正黑体_GBK" w:cs="方正黑体_GBK"/>
        </w:rPr>
      </w:pPr>
      <w:r>
        <w:rPr>
          <w:rFonts w:hint="eastAsia" w:eastAsia="方正黑体_GBK" w:cs="方正黑体_GBK"/>
        </w:rPr>
        <w:t>一、</w:t>
      </w:r>
      <w:r>
        <w:rPr>
          <w:rFonts w:hint="eastAsia" w:eastAsia="方正黑体_GBK" w:cs="方正黑体_GBK"/>
          <w:kern w:val="0"/>
        </w:rPr>
        <w:t>支持项目</w:t>
      </w:r>
      <w:r>
        <w:rPr>
          <w:rFonts w:hint="eastAsia" w:eastAsia="方正黑体_GBK" w:cs="方正黑体_GBK"/>
        </w:rPr>
        <w:t>（平台）</w:t>
      </w:r>
      <w:r>
        <w:rPr>
          <w:rFonts w:hint="eastAsia" w:eastAsia="方正黑体_GBK" w:cs="方正黑体_GBK"/>
          <w:kern w:val="0"/>
        </w:rPr>
        <w:t>建设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eastAsia="方正楷体_GBK" w:cs="方正楷体_GBK"/>
        </w:rPr>
      </w:pPr>
      <w:r>
        <w:rPr>
          <w:rFonts w:hint="eastAsia" w:cs="方正仿宋_GBK"/>
          <w:kern w:val="2"/>
        </w:rPr>
        <w:t>（一）对</w:t>
      </w:r>
      <w:r>
        <w:rPr>
          <w:rFonts w:hint="eastAsia" w:cs="方正仿宋_GBK"/>
        </w:rPr>
        <w:t>符合条件的现代生产性服务业项目，按照经核定的投资金额给予一次性补助，单个项目的支持金额原则上不超过项目投资总额的10%，最高不超过500万元；经市政府同意，特别重大的项目可提高，但最高支持金额原则上不超过2000万元。</w:t>
      </w:r>
      <w:r>
        <w:rPr>
          <w:rFonts w:hint="eastAsia" w:eastAsia="方正楷体_GBK" w:cs="方正楷体_GBK"/>
        </w:rPr>
        <w:t>〔牵头单位：市发展改革委，责任单位：市现代生产性服务业高质量发展专项工作机制成员单位等，各区县（自治县，以下统称区县）〕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eastAsia="方正楷体_GBK" w:cs="方正楷体_GBK"/>
        </w:rPr>
      </w:pPr>
      <w:r>
        <w:rPr>
          <w:rFonts w:hint="eastAsia" w:cs="方正仿宋_GBK"/>
          <w:kern w:val="2"/>
        </w:rPr>
        <w:t>（二）</w:t>
      </w:r>
      <w:r>
        <w:rPr>
          <w:rFonts w:hint="eastAsia" w:cs="方正仿宋_GBK"/>
        </w:rPr>
        <w:t>支持现代生产性服务业领域共性技术研发、成果转化、中试熟化、工业设计、供应链管理、知识产权运营、品牌营销、检验检测认证等领域公共服务平台建设，投资额超过500万元的，按不超过投资额的20%给予补助，最高不超过500万元。</w:t>
      </w:r>
      <w:r>
        <w:rPr>
          <w:rFonts w:hint="eastAsia" w:eastAsia="方正楷体_GBK" w:cs="方正楷体_GBK"/>
        </w:rPr>
        <w:t>（牵头单位：市发展改革委，责任单位：市现代生产性服务业高质量发展专项工作机制成员单位等，各区县）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eastAsia="方正黑体_GBK" w:cs="方正黑体_GBK"/>
        </w:rPr>
      </w:pPr>
      <w:r>
        <w:rPr>
          <w:rFonts w:hint="eastAsia" w:eastAsia="方正黑体_GBK" w:cs="方正黑体_GBK"/>
        </w:rPr>
        <w:t>二、推动载体提质增效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eastAsia="方正楷体_GBK" w:cs="方正楷体_GBK"/>
          <w:kern w:val="0"/>
        </w:rPr>
      </w:pPr>
      <w:r>
        <w:rPr>
          <w:rFonts w:hint="eastAsia" w:cs="方正仿宋_GBK"/>
          <w:kern w:val="2"/>
        </w:rPr>
        <w:t>（三）对年度评估为A等级的现代生产性服务业集聚区，</w:t>
      </w:r>
      <w:r>
        <w:rPr>
          <w:rFonts w:hint="eastAsia" w:cs="方正仿宋_GBK"/>
          <w:bCs/>
          <w:kern w:val="2"/>
        </w:rPr>
        <w:t>分档次给予200—1000万元奖励，资金按照集聚区隶属关系由所在区县政府或市级部门（含开发区管委会）管理使用，</w:t>
      </w:r>
      <w:r>
        <w:rPr>
          <w:rFonts w:hint="eastAsia" w:cs="方正仿宋_GBK"/>
          <w:kern w:val="2"/>
        </w:rPr>
        <w:t>专项用于支持该集聚区产业发展规划和建设方案编制、项目策划、基础设施建设、完善公共服务支撑体系、健全统计监测机制等。</w:t>
      </w:r>
      <w:r>
        <w:rPr>
          <w:rFonts w:hint="eastAsia" w:eastAsia="方正楷体_GBK" w:cs="方正楷体_GBK"/>
          <w:kern w:val="0"/>
        </w:rPr>
        <w:t>（</w:t>
      </w:r>
      <w:r>
        <w:rPr>
          <w:rFonts w:hint="eastAsia" w:eastAsia="方正楷体_GBK" w:cs="方正楷体_GBK"/>
        </w:rPr>
        <w:t>牵头单位：市发展改革委，责任单位：市现代生产性服务业高质量发展专项工作机制成员单位等，各区县</w:t>
      </w:r>
      <w:r>
        <w:rPr>
          <w:rFonts w:hint="eastAsia" w:eastAsia="方正楷体_GBK" w:cs="方正楷体_GBK"/>
          <w:kern w:val="0"/>
        </w:rPr>
        <w:t>）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eastAsia="方正楷体_GBK" w:cs="方正楷体_GBK"/>
        </w:rPr>
      </w:pPr>
      <w:r>
        <w:rPr>
          <w:rFonts w:hint="eastAsia" w:cs="方正仿宋_GBK"/>
          <w:kern w:val="2"/>
        </w:rPr>
        <w:t>（四）对集聚区内入驻的项目、平台和企业，给予资金、人才和用地支持。积极推荐争取中央预算内资金、</w:t>
      </w:r>
      <w:r>
        <w:rPr>
          <w:rFonts w:hint="eastAsia" w:cs="方正仿宋_GBK"/>
          <w:kern w:val="2"/>
          <w:lang w:eastAsia="zh-CN"/>
        </w:rPr>
        <w:t>地方政府</w:t>
      </w:r>
      <w:r>
        <w:rPr>
          <w:rFonts w:hint="eastAsia" w:cs="方正仿宋_GBK"/>
          <w:kern w:val="2"/>
        </w:rPr>
        <w:t>专项债、</w:t>
      </w:r>
      <w:r>
        <w:rPr>
          <w:rFonts w:hint="eastAsia" w:cs="方正仿宋_GBK"/>
          <w:kern w:val="2"/>
          <w:lang w:eastAsia="zh-CN"/>
        </w:rPr>
        <w:t>超长期</w:t>
      </w:r>
      <w:r>
        <w:rPr>
          <w:rFonts w:hint="eastAsia" w:cs="方正仿宋_GBK"/>
          <w:kern w:val="2"/>
        </w:rPr>
        <w:t>特别国债及国家级试点示范项目等支持。鼓励集聚区运营机构给予入驻企业租金减免、购房装修、网络通讯等支持。</w:t>
      </w:r>
      <w:r>
        <w:rPr>
          <w:rFonts w:hint="eastAsia" w:eastAsia="方正楷体_GBK" w:cs="方正楷体_GBK"/>
          <w:kern w:val="0"/>
        </w:rPr>
        <w:t>（</w:t>
      </w:r>
      <w:r>
        <w:rPr>
          <w:rFonts w:hint="eastAsia" w:eastAsia="方正楷体_GBK" w:cs="方正楷体_GBK"/>
        </w:rPr>
        <w:t>牵头单位：市发展改革委，责任单位：市现代生产性服务业高质量发展专项工作机制成员单位等，各区县</w:t>
      </w:r>
      <w:r>
        <w:rPr>
          <w:rFonts w:hint="eastAsia" w:eastAsia="方正楷体_GBK" w:cs="方正楷体_GBK"/>
          <w:kern w:val="0"/>
        </w:rPr>
        <w:t>）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cs="方正仿宋_GBK"/>
        </w:rPr>
      </w:pPr>
      <w:r>
        <w:rPr>
          <w:rFonts w:hint="eastAsia" w:cs="方正仿宋_GBK"/>
          <w:kern w:val="2"/>
        </w:rPr>
        <w:t>（五）支持打造特色“星级”楼宇，对年度营业收入增速较快的“星级”楼宇，分档给予楼宇运营机构100万元、50万元的定额奖励。鼓励各区县完善配套服务功能，按照“拎包入住”标准打造楼宇空间。</w:t>
      </w:r>
      <w:r>
        <w:rPr>
          <w:rFonts w:hint="eastAsia" w:eastAsia="方正楷体_GBK" w:cs="方正楷体_GBK"/>
        </w:rPr>
        <w:t>（牵头单位：市发展改革委，责任单位：市现代生产性服务业高质量发展专项工作机制成员单位等，各区县）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eastAsia="方正黑体_GBK" w:cs="方正黑体_GBK"/>
        </w:rPr>
      </w:pPr>
      <w:r>
        <w:rPr>
          <w:rFonts w:hint="eastAsia" w:eastAsia="方正黑体_GBK" w:cs="方正黑体_GBK"/>
        </w:rPr>
        <w:t>三、加强市场主体梯次培育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cs="方正仿宋_GBK"/>
        </w:rPr>
      </w:pPr>
      <w:r>
        <w:rPr>
          <w:rFonts w:hint="eastAsia" w:cs="方正仿宋_GBK"/>
          <w:kern w:val="2"/>
        </w:rPr>
        <w:t>（六）鼓励区县培育规模（限额）以上生产性服务业企业，对每年规模</w:t>
      </w:r>
      <w:r>
        <w:rPr>
          <w:rFonts w:hint="eastAsia" w:cs="方正仿宋_GBK"/>
          <w:kern w:val="2"/>
          <w:u w:val="none"/>
        </w:rPr>
        <w:t>（限额）</w:t>
      </w:r>
      <w:r>
        <w:rPr>
          <w:rFonts w:hint="eastAsia" w:cs="方正仿宋_GBK"/>
          <w:kern w:val="2"/>
        </w:rPr>
        <w:t>以上生产性服务业企业新增数量、净增数量和</w:t>
      </w:r>
      <w:r>
        <w:rPr>
          <w:rFonts w:hint="eastAsia" w:cs="方正仿宋_GBK"/>
          <w:kern w:val="2"/>
          <w:u w:val="none"/>
        </w:rPr>
        <w:t>营业收入增速</w:t>
      </w:r>
      <w:r>
        <w:rPr>
          <w:rFonts w:hint="eastAsia" w:cs="方正仿宋_GBK"/>
          <w:kern w:val="2"/>
        </w:rPr>
        <w:t>等指标综合评价前10名的区县，第1—5名分别给予500万元的一次性奖励，第6—10名分别给予300万元的一次性奖励。奖励资金由各区县统筹用于规模（限额）以上生产性服务业企业培育工作。</w:t>
      </w:r>
      <w:r>
        <w:rPr>
          <w:rFonts w:hint="eastAsia" w:eastAsia="方正楷体_GBK" w:cs="方正楷体_GBK"/>
        </w:rPr>
        <w:t>（牵头单位：市发展改革委，责任单位：各区县）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cs="方正仿宋_GBK"/>
        </w:rPr>
      </w:pPr>
      <w:r>
        <w:rPr>
          <w:rFonts w:hint="eastAsia" w:cs="方正仿宋_GBK"/>
          <w:kern w:val="2"/>
        </w:rPr>
        <w:t>（七）鼓励部门、区县、行业协会积极培育一批优质企业、标志性项目和品牌。鼓励引培“中国服务业企业500强”（中企联发布）等，每新增1家首次入选的生产性服务业企业，给予相应区县最高500万元奖励，专项用于支持市场主体做大做强。给予行业协会一定奖励，支持用于培育行业龙头企业、具有行业示范带动作用的标志性项目及品牌。</w:t>
      </w:r>
      <w:r>
        <w:rPr>
          <w:rFonts w:hint="eastAsia" w:cs="方正仿宋_GBK"/>
          <w:color w:val="000000"/>
          <w:kern w:val="2"/>
          <w:shd w:val="clear" w:color="auto" w:fill="FFFFFF"/>
        </w:rPr>
        <w:t>鼓励制造业企业主辅分离，剥离现代物流、节能环保、检验检测等业务设立生产性服务业独立法人企业，对分离后新设立的生产性服务业企业，年营业收入达到</w:t>
      </w:r>
      <w:r>
        <w:rPr>
          <w:rFonts w:hint="eastAsia" w:eastAsia="Times New Roman" w:cs="方正仿宋_GBK"/>
          <w:color w:val="000000"/>
          <w:kern w:val="2"/>
          <w:shd w:val="clear" w:color="auto" w:fill="FFFFFF"/>
        </w:rPr>
        <w:t>2000</w:t>
      </w:r>
      <w:r>
        <w:rPr>
          <w:rFonts w:hint="eastAsia" w:cs="方正仿宋_GBK"/>
          <w:color w:val="000000"/>
          <w:kern w:val="2"/>
          <w:shd w:val="clear" w:color="auto" w:fill="FFFFFF"/>
        </w:rPr>
        <w:t>万元以上的给予一次性奖励，最高不超过</w:t>
      </w:r>
      <w:r>
        <w:rPr>
          <w:rFonts w:hint="eastAsia" w:eastAsia="Times New Roman" w:cs="方正仿宋_GBK"/>
          <w:color w:val="000000"/>
          <w:kern w:val="2"/>
          <w:shd w:val="clear" w:color="auto" w:fill="FFFFFF"/>
        </w:rPr>
        <w:t>100</w:t>
      </w:r>
      <w:r>
        <w:rPr>
          <w:rFonts w:hint="eastAsia" w:cs="方正仿宋_GBK"/>
          <w:color w:val="000000"/>
          <w:kern w:val="2"/>
          <w:shd w:val="clear" w:color="auto" w:fill="FFFFFF"/>
        </w:rPr>
        <w:t>万元。</w:t>
      </w:r>
      <w:r>
        <w:rPr>
          <w:rFonts w:hint="eastAsia" w:cs="方正仿宋_GBK"/>
          <w:kern w:val="2"/>
        </w:rPr>
        <w:t>支持生产性服务业中小企业向“专精特新”转型发展。</w:t>
      </w:r>
      <w:r>
        <w:rPr>
          <w:rFonts w:hint="eastAsia" w:eastAsia="方正楷体_GBK" w:cs="方正楷体_GBK"/>
        </w:rPr>
        <w:t>（牵头单位：市发展改革委，责任单位：市现代生产性服务业高质量发展专项工作机制成员单位等，各区县）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eastAsia="方正黑体_GBK" w:cs="方正黑体_GBK"/>
        </w:rPr>
      </w:pPr>
      <w:r>
        <w:rPr>
          <w:rFonts w:hint="eastAsia" w:eastAsia="方正黑体_GBK" w:cs="方正黑体_GBK"/>
        </w:rPr>
        <w:t>四、强化金融支撑服务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eastAsia="Times New Roman" w:cs="方正仿宋_GBK"/>
          <w:kern w:val="0"/>
        </w:rPr>
      </w:pPr>
      <w:r>
        <w:rPr>
          <w:rFonts w:hint="eastAsia" w:cs="方正仿宋_GBK"/>
          <w:kern w:val="2"/>
        </w:rPr>
        <w:t>（八）充分发挥各级政府投资基金作用，鼓励天使投资、风险投资、私募股权投资等投资机构，加大对生产性服务业企业、项目和集聚区建设的支持力度。引导耐心资本重点支持初创期、成长期生产性服务业企业。</w:t>
      </w:r>
      <w:r>
        <w:rPr>
          <w:rFonts w:hint="eastAsia" w:ascii="方正楷体_GBK" w:hAnsi="方正楷体_GBK" w:eastAsia="方正楷体_GBK" w:cs="方正楷体_GBK"/>
        </w:rPr>
        <w:t>（牵头单位：市委金融办，责任单位：市科技局、市国资委、人行重庆市分行、重庆金融监管局、重庆证监局等）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eastAsia="Times New Roman" w:cs="方正仿宋_GBK"/>
        </w:rPr>
      </w:pPr>
      <w:r>
        <w:rPr>
          <w:rFonts w:hint="eastAsia" w:cs="方正仿宋_GBK"/>
          <w:kern w:val="2"/>
        </w:rPr>
        <w:t>（九）鼓励银行、担保、保险等金融机构围绕生产性服务业开发针对性融资产品，创新动产融资业务，积极发展知识产权质押贷款、“科创贷”等贷款产品，丰富“再贷款+”“再贴现+”产品体系，为生产性服务业领域各类企业、集聚区建设提供精准支持。</w:t>
      </w:r>
      <w:r>
        <w:rPr>
          <w:rFonts w:hint="eastAsia" w:eastAsia="方正楷体_GBK" w:cs="方正楷体_GBK"/>
        </w:rPr>
        <w:t>（牵头单位：市委金融办，责任单位：市财政局、人行重庆市分行、重庆金融监管局等）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eastAsia="Times New Roman" w:cs="方正仿宋_GBK"/>
          <w:kern w:val="0"/>
        </w:rPr>
      </w:pPr>
      <w:r>
        <w:rPr>
          <w:rFonts w:hint="eastAsia" w:cs="方正仿宋_GBK"/>
          <w:kern w:val="2"/>
        </w:rPr>
        <w:t>（十）优化金融服务供给，健全风险分担补偿机制，鼓励构建“股贷债保”联动全方位全业态全生命周期的科技金融综合服务体系。优化贷款审批流程，提高贷款审批和发放效率，规范融资过程中相关中介机构收费行为，切实降低生产性服务业企业融资成本。</w:t>
      </w:r>
      <w:r>
        <w:rPr>
          <w:rFonts w:hint="eastAsia" w:eastAsia="方正楷体_GBK" w:cs="方正楷体_GBK"/>
        </w:rPr>
        <w:t>（牵头单位：市委金融办，责任单位：市财政局、人行重庆市分行、重庆金融监管局、重庆证监局等）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eastAsia="方正黑体_GBK" w:cs="方正黑体_GBK"/>
        </w:rPr>
      </w:pPr>
      <w:r>
        <w:rPr>
          <w:rFonts w:hint="eastAsia" w:eastAsia="方正黑体_GBK" w:cs="方正黑体_GBK"/>
        </w:rPr>
        <w:t>五、支持就业创业和人才培引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cs="方正仿宋_GBK"/>
          <w:kern w:val="0"/>
        </w:rPr>
      </w:pPr>
      <w:r>
        <w:rPr>
          <w:rFonts w:hint="eastAsia" w:cs="方正仿宋_GBK"/>
          <w:kern w:val="2"/>
        </w:rPr>
        <w:t>（十一）稳定和扩</w:t>
      </w:r>
      <w:r>
        <w:rPr>
          <w:rFonts w:hint="eastAsia" w:cs="方正仿宋_GBK"/>
          <w:kern w:val="2"/>
          <w:shd w:val="clear" w:color="auto" w:fill="FFFFFF"/>
        </w:rPr>
        <w:t>大就业，支持发展软件和信息服务、法律、会计、咨询、设计等人力和知识密集型服务业。统筹用好失业保险降费、就业补贴、税收优惠等政策，叠加就业、见习、培训等政策，完善创业补贴、融资支持、场地安排等扶持政策，降低生产性服务业中小企业和个体工商户创业就业成本。</w:t>
      </w:r>
      <w:r>
        <w:rPr>
          <w:rFonts w:hint="eastAsia" w:eastAsia="方正楷体_GBK" w:cs="方正楷体_GBK"/>
        </w:rPr>
        <w:t>（牵头单位：市人力社保局，责任单位：市现代生产性服务业高质量发展专项工作机制成员单位等，各区县）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cs="方正仿宋_GBK"/>
        </w:rPr>
      </w:pPr>
      <w:r>
        <w:rPr>
          <w:rFonts w:hint="eastAsia" w:cs="方正仿宋_GBK"/>
          <w:kern w:val="2"/>
        </w:rPr>
        <w:t>（十二）加强人</w:t>
      </w:r>
      <w:r>
        <w:rPr>
          <w:rFonts w:hint="eastAsia" w:cs="方正仿宋_GBK"/>
          <w:kern w:val="2"/>
          <w:shd w:val="clear" w:color="auto" w:fill="FFFFFF"/>
        </w:rPr>
        <w:t>才保障，迭代升级生产性服务业急需紧缺人才目录，选树一批具有行业影响力、资源整合力的高端生产性服务业人才，通过“揭榜挂帅”“揭榜招贤”等方式引进高层次生产性服务业人才、领军型创新创业团队等。支持重点行业领域高端人才培训等。</w:t>
      </w:r>
      <w:r>
        <w:rPr>
          <w:rFonts w:hint="eastAsia" w:eastAsia="方正楷体_GBK" w:cs="方正楷体_GBK"/>
        </w:rPr>
        <w:t>（牵头单位：市人力社保局，责任单位：市现代生产性服务业高质量发展专项工作机制成员单位等，各区县）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eastAsia="方正黑体_GBK" w:cs="方正黑体_GBK"/>
        </w:rPr>
      </w:pPr>
      <w:r>
        <w:rPr>
          <w:rFonts w:hint="eastAsia" w:eastAsia="方正黑体_GBK" w:cs="方正黑体_GBK"/>
        </w:rPr>
        <w:t>六、优化产业发展生态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eastAsia="Times New Roman" w:cs="方正仿宋_GBK"/>
        </w:rPr>
      </w:pPr>
      <w:r>
        <w:rPr>
          <w:rFonts w:hint="eastAsia" w:cs="方正仿宋_GBK"/>
          <w:kern w:val="2"/>
        </w:rPr>
        <w:t>（十三）支持举</w:t>
      </w:r>
      <w:r>
        <w:rPr>
          <w:rFonts w:hint="eastAsia" w:cs="方正仿宋_GBK"/>
          <w:kern w:val="2"/>
          <w:shd w:val="clear" w:color="auto" w:fill="FFFFFF"/>
        </w:rPr>
        <w:t>办重大活动，鼓励依托西洽会、智博会、国才会等市级重大活动，策划举办生产性服务行业领域峰会、论坛、推介等主题活动，搭建行业交流平台。支持举办生产性服务业领域全国性行业协会年会、产业联盟峰会、圆桌会、研讨会、论坛、推介会等系列活动。对符合条件的生产性服务业活动平台，按不超过实际投入的30%给予补助，最高不超过100万元</w:t>
      </w:r>
      <w:r>
        <w:rPr>
          <w:rFonts w:hint="eastAsia" w:cs="方正仿宋_GBK"/>
          <w:kern w:val="2"/>
        </w:rPr>
        <w:t>。</w:t>
      </w:r>
      <w:r>
        <w:rPr>
          <w:rFonts w:hint="eastAsia" w:eastAsia="方正楷体_GBK" w:cs="方正楷体_GBK"/>
        </w:rPr>
        <w:t>（牵头单位：市发展改革委，责任单位：市现代生产性服务业高质量发展专项工作机制成员单位，市政府外办等）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eastAsia="Times New Roman" w:cs="方正仿宋_GBK"/>
        </w:rPr>
      </w:pPr>
      <w:r>
        <w:rPr>
          <w:rFonts w:hint="eastAsia" w:cs="方正仿宋_GBK"/>
          <w:kern w:val="2"/>
        </w:rPr>
        <w:t>（十四）支持</w:t>
      </w:r>
      <w:r>
        <w:rPr>
          <w:rFonts w:hint="eastAsia" w:cs="方正仿宋_GBK"/>
          <w:kern w:val="2"/>
          <w:shd w:val="clear" w:color="auto" w:fill="FFFFFF"/>
        </w:rPr>
        <w:t>生产性服务业行业协会发展，充分发挥政府采购作用，鼓励相关部门购买行业领域社会组织服务。搭建生产性服务业行业协会、商会互学互鉴平台。支持生产性服务业行业协会、商会打造特色品牌、提升服务能力。积极引导和促进行业自律，推动事业单位、行业协会、中介机构、产业联盟等规范健康发展，提升行业标准化规范化建设水平</w:t>
      </w:r>
      <w:r>
        <w:rPr>
          <w:rFonts w:hint="eastAsia" w:cs="方正仿宋_GBK"/>
          <w:kern w:val="2"/>
        </w:rPr>
        <w:t>。</w:t>
      </w:r>
      <w:r>
        <w:rPr>
          <w:rFonts w:hint="eastAsia" w:eastAsia="方正楷体_GBK" w:cs="方正楷体_GBK"/>
        </w:rPr>
        <w:t>（牵头单位：市发展改革委，责任单位：市现代生产性服务业高质量发展专项工作机制成员单位，市民政局等）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eastAsia="Times New Roman" w:cs="方正仿宋_GBK"/>
        </w:rPr>
      </w:pPr>
      <w:r>
        <w:rPr>
          <w:rFonts w:hint="eastAsia" w:cs="方正仿宋_GBK"/>
          <w:kern w:val="2"/>
        </w:rPr>
        <w:t>（十五）深化</w:t>
      </w:r>
      <w:r>
        <w:rPr>
          <w:rFonts w:hint="eastAsia" w:cs="方正仿宋_GBK"/>
          <w:kern w:val="2"/>
          <w:shd w:val="clear" w:color="auto" w:fill="FFFFFF"/>
        </w:rPr>
        <w:t>开放合作，围绕渝新、渝港、RCEP成员国合作和成渝地区双城经济圈建设、渝鲁合作等国际、省际合作机制，支持通过产业联动、平台联建、活动联办、品牌联创等方式，搭建更多市内企业“走出去”、市外企业“引进来”的合作交流平台。</w:t>
      </w:r>
      <w:r>
        <w:rPr>
          <w:rFonts w:hint="eastAsia" w:eastAsia="方正楷体_GBK" w:cs="方正楷体_GBK"/>
        </w:rPr>
        <w:t>（牵头单位：市发展改革委，责任单位：市现代生产性服务业高质量发展专项工作机制成员单位，市政府外办等）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cs="方正仿宋_GBK"/>
          <w:kern w:val="0"/>
          <w:shd w:val="clear" w:color="auto" w:fill="FFFFFF"/>
        </w:rPr>
      </w:pPr>
      <w:r>
        <w:rPr>
          <w:rFonts w:hint="eastAsia" w:cs="方正仿宋_GBK"/>
          <w:kern w:val="2"/>
        </w:rPr>
        <w:t>（十六）加强用地</w:t>
      </w:r>
      <w:r>
        <w:rPr>
          <w:rFonts w:hint="eastAsia" w:cs="方正仿宋_GBK"/>
          <w:kern w:val="2"/>
          <w:shd w:val="clear" w:color="auto" w:fill="FFFFFF"/>
        </w:rPr>
        <w:t>保障，盘活存量低效用地，鼓励采用长期租赁、先租后让、弹性年期出让等灵活的供地方式支持生产性服务业发展。</w:t>
      </w:r>
      <w:r>
        <w:rPr>
          <w:rFonts w:hint="eastAsia" w:cs="方正仿宋_GBK"/>
          <w:kern w:val="2"/>
        </w:rPr>
        <w:t>鼓励工业企业利用存量房产、土地兴办生产性服务业、创新创业平台等新产业、新业态建设项目。</w:t>
      </w:r>
      <w:r>
        <w:rPr>
          <w:rFonts w:hint="eastAsia" w:eastAsia="方正楷体_GBK" w:cs="方正楷体_GBK"/>
        </w:rPr>
        <w:t>（牵头单位：市规划自然资源局，责任单位：市现代生产性服务业高质量发展专项工作机制成员单位等）</w:t>
      </w:r>
    </w:p>
    <w:p>
      <w:pPr>
        <w:overflowPunct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eastAsia="方正黑体_GBK" w:cs="方正黑体_GBK"/>
        </w:rPr>
      </w:pPr>
      <w:r>
        <w:rPr>
          <w:rFonts w:hint="eastAsia" w:eastAsia="方正黑体_GBK" w:cs="方正黑体_GBK"/>
        </w:rPr>
        <w:t>七、附则</w:t>
      </w:r>
    </w:p>
    <w:p>
      <w:pPr>
        <w:spacing w:beforeLines="0" w:afterLines="0"/>
        <w:rPr>
          <w:rFonts w:hint="eastAsia" w:ascii="方正仿宋_GBK" w:hAnsi="方正仿宋_GBK" w:cs="方正仿宋_GBK"/>
          <w:color w:val="auto"/>
        </w:rPr>
      </w:pPr>
      <w:r>
        <w:rPr>
          <w:rFonts w:hint="eastAsia" w:cs="方正仿宋_GBK"/>
          <w:kern w:val="2"/>
          <w:shd w:val="clear" w:color="auto" w:fill="FFFFFF"/>
        </w:rPr>
        <w:t>本细则自发布之日起施行，有效期至2027年12月31日，《重庆市支持服务业集聚区加快建设若干政策措施》（渝发改经贸〔2021〕364号）废止。如遇国家和我市政策调整，按相关政策执行。本措施与本市其他同类政策按照“就高不重复”的原则不重复支持。</w:t>
      </w:r>
    </w:p>
    <w:p>
      <w:pPr>
        <w:adjustRightInd/>
        <w:spacing w:beforeLines="0" w:afterLines="0" w:line="240" w:lineRule="auto"/>
        <w:rPr>
          <w:rFonts w:hint="eastAsia" w:ascii="方正仿宋_GBK" w:hAnsi="方正仿宋_GBK" w:cs="方正仿宋_GBK"/>
          <w:color w:val="auto"/>
        </w:rPr>
      </w:pPr>
    </w:p>
    <w:p>
      <w:pPr>
        <w:adjustRightInd/>
        <w:spacing w:beforeLines="0" w:afterLines="0" w:line="240" w:lineRule="auto"/>
        <w:rPr>
          <w:rFonts w:hint="eastAsia" w:ascii="方正仿宋_GBK" w:hAnsi="方正仿宋_GBK" w:cs="方正仿宋_GBK"/>
          <w:color w:val="auto"/>
        </w:rPr>
      </w:pPr>
    </w:p>
    <w:p>
      <w:pPr>
        <w:adjustRightInd/>
        <w:spacing w:beforeLines="0" w:afterLines="0" w:line="240" w:lineRule="auto"/>
        <w:rPr>
          <w:rFonts w:hint="eastAsia" w:ascii="方正仿宋_GBK" w:hAnsi="方正仿宋_GBK" w:cs="方正仿宋_GBK"/>
          <w:color w:val="auto"/>
        </w:rPr>
      </w:pPr>
    </w:p>
    <w:p>
      <w:pPr>
        <w:adjustRightInd/>
        <w:spacing w:beforeLines="0" w:afterLines="0" w:line="240" w:lineRule="auto"/>
        <w:rPr>
          <w:rFonts w:hint="eastAsia" w:ascii="方正仿宋_GBK" w:hAnsi="方正仿宋_GBK" w:cs="方正仿宋_GBK"/>
          <w:color w:val="auto"/>
        </w:rPr>
      </w:pPr>
    </w:p>
    <w:p>
      <w:pPr>
        <w:adjustRightInd/>
        <w:spacing w:beforeLines="0" w:afterLines="0" w:line="240" w:lineRule="auto"/>
        <w:rPr>
          <w:rFonts w:hint="eastAsia" w:ascii="方正仿宋_GBK" w:hAnsi="方正仿宋_GBK" w:cs="方正仿宋_GBK"/>
          <w:color w:val="auto"/>
        </w:rPr>
      </w:pPr>
    </w:p>
    <w:p>
      <w:pPr>
        <w:adjustRightInd/>
        <w:spacing w:beforeLines="0" w:afterLines="0" w:line="240" w:lineRule="auto"/>
        <w:rPr>
          <w:rFonts w:hint="eastAsia" w:ascii="方正仿宋_GBK" w:hAnsi="方正仿宋_GBK" w:cs="方正仿宋_GBK"/>
          <w:color w:val="auto"/>
        </w:rPr>
      </w:pPr>
    </w:p>
    <w:p>
      <w:pPr>
        <w:adjustRightInd/>
        <w:spacing w:beforeLines="0" w:afterLines="0" w:line="240" w:lineRule="auto"/>
        <w:rPr>
          <w:rFonts w:hint="eastAsia" w:ascii="方正仿宋_GBK" w:hAnsi="方正仿宋_GBK" w:cs="方正仿宋_GBK"/>
          <w:color w:val="auto"/>
        </w:rPr>
      </w:pPr>
    </w:p>
    <w:p>
      <w:pPr>
        <w:adjustRightInd/>
        <w:spacing w:beforeLines="0" w:afterLines="0" w:line="240" w:lineRule="auto"/>
        <w:rPr>
          <w:rFonts w:hint="eastAsia" w:ascii="方正仿宋_GBK" w:hAnsi="方正仿宋_GBK" w:cs="方正仿宋_GBK"/>
          <w:color w:val="auto"/>
        </w:rPr>
      </w:pPr>
    </w:p>
    <w:p>
      <w:pPr>
        <w:pStyle w:val="2"/>
        <w:spacing w:beforeLines="0" w:after="0" w:afterLines="0"/>
        <w:ind w:left="0" w:left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spacing w:beforeLines="0" w:after="0" w:afterLines="0"/>
        <w:ind w:left="0" w:left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spacing w:beforeLines="0" w:after="0" w:afterLines="0"/>
        <w:ind w:left="0" w:left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spacing w:beforeLines="0" w:after="0" w:afterLines="0"/>
        <w:ind w:left="0" w:left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spacing w:beforeLines="0" w:after="0" w:afterLines="0"/>
        <w:ind w:left="0" w:left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spacing w:beforeLines="0" w:after="0" w:afterLines="0"/>
        <w:ind w:left="0" w:left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spacing w:beforeLines="0" w:after="0" w:afterLines="0"/>
        <w:ind w:left="0" w:left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adjustRightInd/>
        <w:spacing w:beforeLines="0" w:afterLines="0" w:line="240" w:lineRule="auto"/>
        <w:rPr>
          <w:rFonts w:hint="eastAsia" w:ascii="方正仿宋_GBK" w:hAnsi="方正仿宋_GBK" w:cs="方正仿宋_GBK"/>
          <w:color w:val="auto"/>
        </w:rPr>
      </w:pPr>
    </w:p>
    <w:p>
      <w:pPr>
        <w:pStyle w:val="2"/>
        <w:spacing w:beforeLines="0" w:after="0" w:afterLines="0"/>
        <w:ind w:left="0" w:left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pacing w:beforeLines="0" w:after="0" w:afterLines="0"/>
        <w:ind w:left="0" w:left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pacing w:beforeLines="0" w:after="0" w:afterLines="0"/>
        <w:ind w:left="0" w:left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ordWrap/>
        <w:overflowPunct/>
        <w:adjustRightInd/>
        <w:spacing w:line="240" w:lineRule="auto"/>
        <w:ind w:firstLine="0" w:firstLineChars="0"/>
        <w:jc w:val="left"/>
        <w:rPr>
          <w:rFonts w:hint="default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5627370" cy="15240"/>
                <wp:effectExtent l="0" t="4445" r="11430" b="1079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7370" cy="15240"/>
                        </a:xfrm>
                        <a:prstGeom prst="line">
                          <a:avLst/>
                        </a:prstGeom>
                        <a:noFill/>
                        <a:ln w="444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0pt;height:1.2pt;width:443.1pt;z-index:251663360;mso-width-relative:page;mso-height-relative:page;" filled="f" stroked="t" coordsize="21600,21600" o:gfxdata="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doMAfUAAAABAEAAA8A&#10;AAAAAAAAAQAgAAAAIgAAAGRycy9kb3ducmV2LnhtbFBLAQIUABQAAAAIAIdO4kDG8E0+4gEAAKwD&#10;AAAOAAAAAAAAAAEAIAAAACMBAABkcnMvZTJvRG9jLnhtbFBLBQYAAAAABgAGAFkBAAB3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367665</wp:posOffset>
                </wp:positionV>
                <wp:extent cx="5627370" cy="15240"/>
                <wp:effectExtent l="0" t="4445" r="11430" b="107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2185" y="4633595"/>
                          <a:ext cx="5627370" cy="15240"/>
                        </a:xfrm>
                        <a:prstGeom prst="line">
                          <a:avLst/>
                        </a:prstGeom>
                        <a:noFill/>
                        <a:ln w="444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28.95pt;height:1.2pt;width:443.1pt;z-index:251662336;mso-width-relative:page;mso-height-relative:page;" filled="f" stroked="t" coordsize="21600,21600" o:gfxdata="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CLxo9cAAAAGAQAADwAAAAAAAAABACAAAAAiAAAAZHJzL2Rvd25yZXYueG1sUEsBAhQAFAAA&#10;AAgAh07iQJEXeF7wAQAAtwMAAA4AAAAAAAAAAQAgAAAAJgEAAGRycy9lMm9Eb2MueG1sUEsFBgAA&#10;AAAGAAYAWQEAAIg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重庆市发展和改革委员会办公室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2024年</w:t>
      </w:r>
      <w:r>
        <w:rPr>
          <w:rFonts w:hint="eastAsia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日印发  </w:t>
      </w:r>
    </w:p>
    <w:sectPr>
      <w:pgSz w:w="11906" w:h="16838"/>
      <w:pgMar w:top="2098" w:right="1531" w:bottom="1984" w:left="1531" w:header="851" w:footer="1417" w:gutter="0"/>
      <w:pgNumType w:fmt="numberInDash"/>
      <w:cols w:space="72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imQV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9"/>
      <w:jc w:val="right"/>
      <w:rPr>
        <w:rFonts w:hint="eastAsia"/>
        <w:color w:val="FAFAFA"/>
        <w:sz w:val="28"/>
        <w:szCs w:val="28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</w:rPr>
      <w:t xml:space="preserve"> </w:t>
    </w:r>
  </w:p>
  <w:p>
    <w:pPr>
      <w:pStyle w:val="9"/>
      <w:ind w:firstLine="4498" w:firstLineChars="1600"/>
      <w:jc w:val="both"/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重庆市发展和改革委员会发布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/>
      <w:jc w:val="both"/>
      <w:textAlignment w:val="center"/>
      <w:rPr>
        <w:rFonts w:hint="eastAsia" w:ascii="方正仿宋_GBK" w:hAnsi="方正仿宋_GBK" w:cs="方正仿宋_GBK"/>
        <w:b/>
        <w:bCs/>
        <w:color w:val="000000"/>
        <w:sz w:val="32"/>
      </w:rPr>
    </w:pPr>
    <w:r>
      <w:rPr>
        <w:rFonts w:hint="eastAsia" w:ascii="方正仿宋_GBK" w:hAnsi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3175" b="1206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lIsuz9wEAAMsDAAAOAAAAZHJzL2Uyb0RvYy54bWytU02O0zAU&#10;3iNxB8t7mjTTlhI1ncVUwwZBJeAArmMnlvwnP0/TXoILILGDFUv23IbhGDw7YRi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viD4QPEl8IZkoKGamUTfVaz4yuI2BdLf5ekZeuuldb5CrUlQ0Mr/BI0Q19K9AOG&#10;xiM3sB0lTHdoeB5DhgSnVZu2JyAI3eFKB3JkySblcv6iSqSx3V9lqfeOQT/W5dRoIKMivgmtDHIu&#10;0zft1jahi+zDiUEScpQuRQfXnrOiRZrhHeemkx+Tie7PMb7/Br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R5KzUAAAACAEAAA8AAAAAAAAAAQAgAAAAIgAAAGRycy9kb3ducmV2LnhtbFBLAQIU&#10;ABQAAAAIAIdO4kClIsuz9wEAAMsDAAAOAAAAAAAAAAEAIAAAACMBAABkcnMvZTJvRG9jLnhtbFBL&#10;BQYAAAAABgAGAFkBAACM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adjustRightInd/>
      <w:jc w:val="both"/>
      <w:textAlignment w:val="center"/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2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</w:rPr>
      <w:t>发展和改革委员会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58"/>
  <w:drawingGridVerticalSpacing w:val="290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MjI0Mzc2ZjIyZjY1YWY5MGM1NmE2ZGQxZTliNWMifQ=="/>
  </w:docVars>
  <w:rsids>
    <w:rsidRoot w:val="00172A27"/>
    <w:rsid w:val="006004F6"/>
    <w:rsid w:val="00FF28FF"/>
    <w:rsid w:val="01136F74"/>
    <w:rsid w:val="019E71BD"/>
    <w:rsid w:val="01C066B5"/>
    <w:rsid w:val="03D04E6B"/>
    <w:rsid w:val="041C42DA"/>
    <w:rsid w:val="04B679C3"/>
    <w:rsid w:val="05F07036"/>
    <w:rsid w:val="064E7294"/>
    <w:rsid w:val="06E00104"/>
    <w:rsid w:val="07AC7F00"/>
    <w:rsid w:val="080F63D8"/>
    <w:rsid w:val="09341458"/>
    <w:rsid w:val="098254C2"/>
    <w:rsid w:val="0A766EDE"/>
    <w:rsid w:val="0AD64BE8"/>
    <w:rsid w:val="0B0912D7"/>
    <w:rsid w:val="0D6E5E17"/>
    <w:rsid w:val="0DA472A8"/>
    <w:rsid w:val="0DBB1015"/>
    <w:rsid w:val="0E025194"/>
    <w:rsid w:val="0E6D4BB0"/>
    <w:rsid w:val="14181522"/>
    <w:rsid w:val="152D2DCA"/>
    <w:rsid w:val="15D5325E"/>
    <w:rsid w:val="17130662"/>
    <w:rsid w:val="185E7C41"/>
    <w:rsid w:val="187168EA"/>
    <w:rsid w:val="196673CA"/>
    <w:rsid w:val="1B2F4AEE"/>
    <w:rsid w:val="1CF734C9"/>
    <w:rsid w:val="1DEC284C"/>
    <w:rsid w:val="1E1D39B2"/>
    <w:rsid w:val="1E6523AC"/>
    <w:rsid w:val="213B01C6"/>
    <w:rsid w:val="22440422"/>
    <w:rsid w:val="22BB4BBB"/>
    <w:rsid w:val="22C27ADF"/>
    <w:rsid w:val="25C81124"/>
    <w:rsid w:val="25DE7970"/>
    <w:rsid w:val="28B25D6F"/>
    <w:rsid w:val="2AD947D6"/>
    <w:rsid w:val="2AEB3417"/>
    <w:rsid w:val="2CC20647"/>
    <w:rsid w:val="2D502E74"/>
    <w:rsid w:val="2DCC28F7"/>
    <w:rsid w:val="2F541F27"/>
    <w:rsid w:val="31A15F24"/>
    <w:rsid w:val="324A1681"/>
    <w:rsid w:val="34F12209"/>
    <w:rsid w:val="34FD541C"/>
    <w:rsid w:val="36FB1DF0"/>
    <w:rsid w:val="395347B5"/>
    <w:rsid w:val="39A232A0"/>
    <w:rsid w:val="39E745AA"/>
    <w:rsid w:val="3B5A6BBB"/>
    <w:rsid w:val="3CE14061"/>
    <w:rsid w:val="3D437488"/>
    <w:rsid w:val="3D6A2620"/>
    <w:rsid w:val="3E2E249C"/>
    <w:rsid w:val="3EDA13A6"/>
    <w:rsid w:val="417B75E9"/>
    <w:rsid w:val="42F058B7"/>
    <w:rsid w:val="436109F6"/>
    <w:rsid w:val="441A38D4"/>
    <w:rsid w:val="4504239D"/>
    <w:rsid w:val="4641064B"/>
    <w:rsid w:val="4910652A"/>
    <w:rsid w:val="4AD86038"/>
    <w:rsid w:val="4BC77339"/>
    <w:rsid w:val="4BF22B1F"/>
    <w:rsid w:val="4C5C0629"/>
    <w:rsid w:val="4C9236C5"/>
    <w:rsid w:val="4E250A85"/>
    <w:rsid w:val="4E464D75"/>
    <w:rsid w:val="4E897B30"/>
    <w:rsid w:val="4F551E0D"/>
    <w:rsid w:val="4FFD4925"/>
    <w:rsid w:val="505C172E"/>
    <w:rsid w:val="506405EA"/>
    <w:rsid w:val="50977DB8"/>
    <w:rsid w:val="52851315"/>
    <w:rsid w:val="52F46F0B"/>
    <w:rsid w:val="532B6A10"/>
    <w:rsid w:val="53D8014D"/>
    <w:rsid w:val="55003B4B"/>
    <w:rsid w:val="55B27C89"/>
    <w:rsid w:val="55E064E0"/>
    <w:rsid w:val="572C6D10"/>
    <w:rsid w:val="57732A03"/>
    <w:rsid w:val="579F129B"/>
    <w:rsid w:val="57D439E1"/>
    <w:rsid w:val="5A4061C0"/>
    <w:rsid w:val="5D7E310A"/>
    <w:rsid w:val="5DC34279"/>
    <w:rsid w:val="5E8A52F7"/>
    <w:rsid w:val="5FCD688E"/>
    <w:rsid w:val="5FF9BDAA"/>
    <w:rsid w:val="5FFE5333"/>
    <w:rsid w:val="608816D1"/>
    <w:rsid w:val="60EF4E7F"/>
    <w:rsid w:val="64396CAA"/>
    <w:rsid w:val="646A6756"/>
    <w:rsid w:val="648B0A32"/>
    <w:rsid w:val="652548C2"/>
    <w:rsid w:val="6599646A"/>
    <w:rsid w:val="665233C1"/>
    <w:rsid w:val="69AC0D42"/>
    <w:rsid w:val="6A817394"/>
    <w:rsid w:val="6AD9688B"/>
    <w:rsid w:val="6BC66237"/>
    <w:rsid w:val="6D0E3F22"/>
    <w:rsid w:val="744E4660"/>
    <w:rsid w:val="74776C27"/>
    <w:rsid w:val="753355A2"/>
    <w:rsid w:val="759F1C61"/>
    <w:rsid w:val="769F2DE8"/>
    <w:rsid w:val="76FDEB7C"/>
    <w:rsid w:val="79C65162"/>
    <w:rsid w:val="7C9011D9"/>
    <w:rsid w:val="7CA72C41"/>
    <w:rsid w:val="7DC651C5"/>
    <w:rsid w:val="7DF350ED"/>
    <w:rsid w:val="7EA90D5A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adjustRightInd/>
      <w:spacing w:after="160" w:line="240" w:lineRule="auto"/>
      <w:ind w:left="420" w:leftChars="200"/>
      <w:textAlignment w:val="auto"/>
    </w:pPr>
    <w:rPr>
      <w:rFonts w:eastAsia="宋体"/>
      <w:kern w:val="2"/>
      <w:sz w:val="21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Lines="0" w:afterAutospacing="0"/>
    </w:pPr>
  </w:style>
  <w:style w:type="paragraph" w:styleId="6">
    <w:name w:val="Body Text 2"/>
    <w:basedOn w:val="1"/>
    <w:qFormat/>
    <w:uiPriority w:val="0"/>
    <w:pPr>
      <w:adjustRightInd/>
      <w:spacing w:before="60" w:after="60" w:line="240" w:lineRule="auto"/>
      <w:textAlignment w:val="auto"/>
    </w:pPr>
    <w:rPr>
      <w:rFonts w:ascii="Arial" w:hAnsi="Arial" w:eastAsia="仿宋_GB2312"/>
      <w:spacing w:val="-5"/>
      <w:kern w:val="2"/>
      <w:lang w:val="zh-CN" w:eastAsia="en-US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link w:val="23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next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5"/>
    <w:qFormat/>
    <w:uiPriority w:val="0"/>
    <w:pPr>
      <w:ind w:firstLine="420" w:firstLineChars="100"/>
    </w:pPr>
  </w:style>
  <w:style w:type="paragraph" w:styleId="13">
    <w:name w:val="Body Text First Indent 2"/>
    <w:basedOn w:val="7"/>
    <w:next w:val="12"/>
    <w:qFormat/>
    <w:uiPriority w:val="0"/>
    <w:pPr>
      <w:ind w:firstLine="420" w:firstLineChars="200"/>
    </w:p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正文首缩两字 Char"/>
    <w:basedOn w:val="1"/>
    <w:qFormat/>
    <w:uiPriority w:val="99"/>
    <w:rPr>
      <w:rFonts w:ascii="Verdana" w:hAnsi="Verdana"/>
      <w:bCs/>
    </w:rPr>
  </w:style>
  <w:style w:type="paragraph" w:customStyle="1" w:styleId="19">
    <w:name w:val="方正仿宋"/>
    <w:basedOn w:val="1"/>
    <w:qFormat/>
    <w:uiPriority w:val="0"/>
    <w:pPr>
      <w:adjustRightInd/>
      <w:spacing w:line="240" w:lineRule="auto"/>
      <w:ind w:firstLine="620" w:firstLineChars="200"/>
    </w:pPr>
  </w:style>
  <w:style w:type="paragraph" w:customStyle="1" w:styleId="20">
    <w:name w:val="默认"/>
    <w:qFormat/>
    <w:uiPriority w:val="0"/>
    <w:pPr>
      <w:spacing w:after="160" w:line="259" w:lineRule="auto"/>
    </w:pPr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customStyle="1" w:styleId="21">
    <w:name w:val="Body text|1"/>
    <w:basedOn w:val="1"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3">
    <w:name w:val="批注框文本 Char"/>
    <w:basedOn w:val="15"/>
    <w:link w:val="8"/>
    <w:qFormat/>
    <w:uiPriority w:val="0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627</Words>
  <Characters>3574</Characters>
  <Lines>29</Lines>
  <Paragraphs>8</Paragraphs>
  <TotalTime>0</TotalTime>
  <ScaleCrop>false</ScaleCrop>
  <LinksUpToDate>false</LinksUpToDate>
  <CharactersWithSpaces>4193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王宗瑄</cp:lastModifiedBy>
  <cp:lastPrinted>2022-05-12T00:46:00Z</cp:lastPrinted>
  <dcterms:modified xsi:type="dcterms:W3CDTF">2024-11-20T08:53:33Z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4D8019162577470EA391DE0C8E5F2C15</vt:lpwstr>
  </property>
</Properties>
</file>