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rPr>
          <w:rFonts w:hint="eastAsia" w:ascii="方正仿宋_GBK" w:hAnsi="方正仿宋_GBK" w:cs="方正仿宋_GBK"/>
          <w:bCs/>
          <w:color w:val="auto"/>
        </w:rPr>
      </w:pP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46" w:type="dxa"/>
          </w:tcPr>
          <w:p>
            <w:pPr>
              <w:keepNext w:val="0"/>
              <w:keepLines w:val="0"/>
              <w:pageBreakBefore w:val="0"/>
              <w:kinsoku/>
              <w:wordWrap/>
              <w:overflowPunct w:val="0"/>
              <w:topLinePunct w:val="0"/>
              <w:autoSpaceDE/>
              <w:autoSpaceDN/>
              <w:bidi w:val="0"/>
              <w:adjustRightInd/>
              <w:snapToGrid/>
              <w:spacing w:before="0" w:beforeLines="0" w:after="0" w:afterLines="0" w:line="580" w:lineRule="exact"/>
              <w:jc w:val="distribute"/>
              <w:textAlignment w:val="center"/>
              <w:rPr>
                <w:rFonts w:hint="eastAsia" w:cs="方正仿宋_GBK"/>
                <w:kern w:val="2"/>
                <w:shd w:val="clear" w:color="auto" w:fill="FFFFFF"/>
              </w:rPr>
            </w:pPr>
            <w:bookmarkStart w:id="0" w:name="_GoBack"/>
            <w:r>
              <w:rPr>
                <w:rFonts w:eastAsia="方正小标宋_GBK"/>
                <w:bCs/>
                <w:kern w:val="2"/>
                <w:sz w:val="44"/>
                <w:szCs w:val="44"/>
              </w:rPr>
              <w:t>重庆市发展和改革委员会</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46" w:type="dxa"/>
          </w:tcPr>
          <w:p>
            <w:pPr>
              <w:keepNext w:val="0"/>
              <w:keepLines w:val="0"/>
              <w:pageBreakBefore w:val="0"/>
              <w:kinsoku/>
              <w:wordWrap/>
              <w:overflowPunct w:val="0"/>
              <w:topLinePunct w:val="0"/>
              <w:autoSpaceDE/>
              <w:autoSpaceDN/>
              <w:bidi w:val="0"/>
              <w:adjustRightInd/>
              <w:snapToGrid/>
              <w:spacing w:before="0" w:beforeLines="0" w:after="0" w:afterLines="0" w:line="580" w:lineRule="exact"/>
              <w:jc w:val="distribute"/>
              <w:textAlignment w:val="center"/>
              <w:rPr>
                <w:rFonts w:hint="eastAsia" w:cs="方正仿宋_GBK"/>
                <w:kern w:val="2"/>
                <w:shd w:val="clear" w:color="auto" w:fill="FFFFFF"/>
              </w:rPr>
            </w:pPr>
            <w:r>
              <w:rPr>
                <w:rFonts w:hint="eastAsia" w:eastAsia="方正小标宋_GBK"/>
                <w:bCs/>
                <w:kern w:val="2"/>
                <w:sz w:val="44"/>
                <w:szCs w:val="44"/>
              </w:rPr>
              <w:t>重庆市财政局</w:t>
            </w:r>
          </w:p>
        </w:tc>
      </w:tr>
    </w:tbl>
    <w:p>
      <w:pPr>
        <w:keepNext w:val="0"/>
        <w:keepLines w:val="0"/>
        <w:pageBreakBefore w:val="0"/>
        <w:kinsoku/>
        <w:wordWrap/>
        <w:overflowPunct w:val="0"/>
        <w:topLinePunct w:val="0"/>
        <w:autoSpaceDE/>
        <w:autoSpaceDN/>
        <w:bidi w:val="0"/>
        <w:adjustRightInd/>
        <w:snapToGrid/>
        <w:spacing w:before="0" w:beforeLines="0" w:after="0" w:afterLines="0" w:line="580" w:lineRule="exact"/>
        <w:ind w:left="0" w:leftChars="0" w:firstLine="0" w:firstLineChars="0"/>
        <w:jc w:val="center"/>
        <w:textAlignment w:val="center"/>
        <w:rPr>
          <w:rFonts w:eastAsia="方正小标宋_GBK"/>
          <w:bCs/>
          <w:kern w:val="2"/>
          <w:sz w:val="44"/>
          <w:szCs w:val="44"/>
        </w:rPr>
      </w:pPr>
      <w:r>
        <w:rPr>
          <w:rFonts w:eastAsia="方正小标宋_GBK"/>
          <w:bCs/>
          <w:kern w:val="2"/>
          <w:sz w:val="44"/>
          <w:szCs w:val="44"/>
        </w:rPr>
        <w:t>关于</w:t>
      </w:r>
      <w:r>
        <w:rPr>
          <w:rFonts w:hint="default" w:eastAsia="方正小标宋_GBK"/>
          <w:bCs/>
          <w:kern w:val="2"/>
          <w:sz w:val="44"/>
          <w:szCs w:val="44"/>
        </w:rPr>
        <w:t>印发</w:t>
      </w:r>
      <w:r>
        <w:rPr>
          <w:rFonts w:eastAsia="方正小标宋_GBK"/>
          <w:bCs/>
          <w:kern w:val="2"/>
          <w:sz w:val="44"/>
          <w:szCs w:val="44"/>
        </w:rPr>
        <w:t>重庆市现代生产性服务业专项资金</w:t>
      </w:r>
    </w:p>
    <w:p>
      <w:pPr>
        <w:adjustRightInd/>
        <w:spacing w:beforeLines="0" w:afterLines="0" w:line="580" w:lineRule="exact"/>
        <w:jc w:val="center"/>
        <w:rPr>
          <w:rFonts w:hint="eastAsia" w:ascii="方正仿宋_GBK" w:hAnsi="方正仿宋_GBK" w:cs="方正仿宋_GBK"/>
          <w:bCs/>
          <w:color w:val="auto"/>
          <w:sz w:val="44"/>
          <w:szCs w:val="44"/>
          <w:highlight w:val="none"/>
          <w:lang w:val="en-US" w:eastAsia="zh-CN"/>
        </w:rPr>
      </w:pPr>
      <w:r>
        <w:rPr>
          <w:rFonts w:eastAsia="方正小标宋_GBK"/>
          <w:bCs/>
          <w:kern w:val="2"/>
          <w:sz w:val="44"/>
          <w:szCs w:val="44"/>
        </w:rPr>
        <w:t>管理办法的</w:t>
      </w:r>
      <w:r>
        <w:rPr>
          <w:rFonts w:hint="default" w:eastAsia="方正小标宋_GBK"/>
          <w:bCs/>
          <w:kern w:val="2"/>
          <w:sz w:val="44"/>
          <w:szCs w:val="44"/>
        </w:rPr>
        <w:t>通知</w:t>
      </w:r>
    </w:p>
    <w:p>
      <w:pPr>
        <w:adjustRightInd/>
        <w:spacing w:line="240" w:lineRule="auto"/>
        <w:jc w:val="center"/>
        <w:rPr>
          <w:rFonts w:hint="default" w:ascii="方正仿宋_GBK" w:hAnsi="方正仿宋_GBK" w:cs="方正仿宋_GBK"/>
          <w:bCs/>
          <w:color w:val="auto"/>
          <w:highlight w:val="none"/>
          <w:lang w:val="en-US" w:eastAsia="zh-CN"/>
        </w:rPr>
      </w:pPr>
      <w:r>
        <w:rPr>
          <w:rFonts w:hint="eastAsia" w:ascii="方正仿宋_GBK" w:hAnsi="方正仿宋_GBK" w:eastAsia="方正仿宋_GBK" w:cs="方正仿宋_GBK"/>
          <w:kern w:val="2"/>
        </w:rPr>
        <w:t>渝发改规范〔</w:t>
      </w:r>
      <w:r>
        <w:rPr>
          <w:rFonts w:hint="default" w:eastAsia="方正仿宋_GBK"/>
          <w:kern w:val="2"/>
        </w:rPr>
        <w:t>2024</w:t>
      </w:r>
      <w:r>
        <w:rPr>
          <w:rFonts w:hint="eastAsia" w:ascii="方正仿宋_GBK" w:hAnsi="方正仿宋_GBK" w:eastAsia="方正仿宋_GBK" w:cs="方正仿宋_GBK"/>
          <w:kern w:val="2"/>
        </w:rPr>
        <w:t>〕</w:t>
      </w:r>
      <w:r>
        <w:rPr>
          <w:rFonts w:hint="eastAsia"/>
          <w:kern w:val="2"/>
          <w:lang w:eastAsia="zh-CN"/>
        </w:rPr>
        <w:t>6</w:t>
      </w:r>
      <w:r>
        <w:rPr>
          <w:rFonts w:hint="eastAsia" w:ascii="方正仿宋_GBK" w:hAnsi="方正仿宋_GBK" w:eastAsia="方正仿宋_GBK" w:cs="方正仿宋_GBK"/>
          <w:kern w:val="2"/>
        </w:rPr>
        <w:t>号</w:t>
      </w:r>
    </w:p>
    <w:p>
      <w:pPr>
        <w:overflowPunct w:val="0"/>
        <w:adjustRightInd/>
        <w:spacing w:after="0" w:line="240" w:lineRule="auto"/>
        <w:textAlignment w:val="auto"/>
        <w:rPr>
          <w:rFonts w:hint="default" w:ascii="方正仿宋_GBK" w:hAnsi="方正仿宋_GBK" w:cs="方正仿宋_GBK"/>
          <w:bCs/>
          <w:color w:val="auto"/>
          <w:lang w:val="en-US" w:eastAsia="zh-CN"/>
        </w:rPr>
      </w:pPr>
    </w:p>
    <w:p>
      <w:pPr>
        <w:widowControl w:val="0"/>
        <w:suppressAutoHyphens/>
        <w:overflowPunct w:val="0"/>
        <w:bidi w:val="0"/>
        <w:adjustRightInd/>
        <w:spacing w:before="0" w:beforeLines="0" w:after="0" w:afterLines="0" w:line="240" w:lineRule="auto"/>
        <w:jc w:val="both"/>
        <w:textAlignment w:val="auto"/>
        <w:rPr>
          <w:rFonts w:hint="eastAsia" w:ascii="方正仿宋_GBK" w:hAnsi="方正仿宋_GBK" w:cs="方正仿宋_GBK"/>
          <w:lang w:bidi="ar"/>
        </w:rPr>
      </w:pPr>
      <w:r>
        <w:rPr>
          <w:rFonts w:hint="eastAsia" w:ascii="方正仿宋_GBK" w:hAnsi="方正仿宋_GBK" w:cs="方正仿宋_GBK"/>
          <w:lang w:bidi="ar"/>
        </w:rPr>
        <w:t>各区县（自治县）人民政府，市级有关部门，有关单位：</w:t>
      </w:r>
    </w:p>
    <w:p>
      <w:pPr>
        <w:widowControl w:val="0"/>
        <w:suppressAutoHyphens/>
        <w:overflowPunct w:val="0"/>
        <w:bidi w:val="0"/>
        <w:adjustRightInd/>
        <w:spacing w:before="0" w:beforeLines="0" w:after="0" w:afterLines="0" w:line="240" w:lineRule="auto"/>
        <w:ind w:firstLine="632" w:firstLineChars="200"/>
        <w:rPr>
          <w:rFonts w:hint="eastAsia" w:ascii="方正仿宋_GBK" w:hAnsi="方正仿宋_GBK" w:cs="方正仿宋_GBK"/>
        </w:rPr>
      </w:pPr>
      <w:r>
        <w:rPr>
          <w:rFonts w:hint="eastAsia" w:ascii="方正仿宋_GBK" w:hAnsi="方正仿宋_GBK" w:cs="方正仿宋_GBK"/>
          <w:kern w:val="2"/>
        </w:rPr>
        <w:t>为规范现代生产性服务业专项资金的管理和使用，提高财政资金使用效益，根据《中华人民共和国预算法》及其实施条例、《重庆市人民政府办公厅关于印发重庆市市级预算管理办法等</w:t>
      </w:r>
      <w:r>
        <w:rPr>
          <w:rFonts w:hint="default"/>
          <w:kern w:val="2"/>
        </w:rPr>
        <w:t>6</w:t>
      </w:r>
      <w:r>
        <w:rPr>
          <w:rFonts w:hint="eastAsia" w:ascii="方正仿宋_GBK" w:hAnsi="方正仿宋_GBK" w:cs="方正仿宋_GBK"/>
          <w:kern w:val="2"/>
        </w:rPr>
        <w:t>个办法的通知》（渝府办发〔</w:t>
      </w:r>
      <w:r>
        <w:rPr>
          <w:rFonts w:hint="default"/>
          <w:kern w:val="2"/>
        </w:rPr>
        <w:t>2021</w:t>
      </w:r>
      <w:r>
        <w:rPr>
          <w:rFonts w:hint="eastAsia" w:ascii="方正仿宋_GBK" w:hAnsi="方正仿宋_GBK" w:cs="方正仿宋_GBK"/>
          <w:kern w:val="2"/>
        </w:rPr>
        <w:t>〕</w:t>
      </w:r>
      <w:r>
        <w:rPr>
          <w:rFonts w:hint="default"/>
          <w:kern w:val="2"/>
        </w:rPr>
        <w:t>139</w:t>
      </w:r>
      <w:r>
        <w:rPr>
          <w:rFonts w:hint="eastAsia" w:ascii="方正仿宋_GBK" w:hAnsi="方正仿宋_GBK" w:cs="方正仿宋_GBK"/>
          <w:kern w:val="2"/>
        </w:rPr>
        <w:t>号）和《重庆市加速推进现代生产性服务业高质量发展行动方案（</w:t>
      </w:r>
      <w:r>
        <w:rPr>
          <w:rFonts w:hint="default"/>
          <w:kern w:val="2"/>
        </w:rPr>
        <w:t>2024</w:t>
      </w:r>
      <w:r>
        <w:rPr>
          <w:rFonts w:hint="eastAsia" w:ascii="方正仿宋_GBK" w:hAnsi="方正仿宋_GBK" w:cs="方正仿宋_GBK"/>
          <w:kern w:val="2"/>
        </w:rPr>
        <w:t>—</w:t>
      </w:r>
      <w:r>
        <w:rPr>
          <w:rFonts w:hint="default"/>
          <w:kern w:val="2"/>
        </w:rPr>
        <w:t>2027</w:t>
      </w:r>
      <w:r>
        <w:rPr>
          <w:rFonts w:hint="eastAsia" w:ascii="方正仿宋_GBK" w:hAnsi="方正仿宋_GBK" w:cs="方正仿宋_GBK"/>
          <w:kern w:val="2"/>
        </w:rPr>
        <w:t>年）》（渝府发〔</w:t>
      </w:r>
      <w:r>
        <w:rPr>
          <w:rFonts w:hint="default"/>
          <w:kern w:val="2"/>
        </w:rPr>
        <w:t>2024</w:t>
      </w:r>
      <w:r>
        <w:rPr>
          <w:rFonts w:hint="eastAsia" w:ascii="方正仿宋_GBK" w:hAnsi="方正仿宋_GBK" w:cs="方正仿宋_GBK"/>
          <w:kern w:val="2"/>
        </w:rPr>
        <w:t>〕</w:t>
      </w:r>
      <w:r>
        <w:rPr>
          <w:rFonts w:hint="default"/>
          <w:kern w:val="2"/>
        </w:rPr>
        <w:t>18</w:t>
      </w:r>
      <w:r>
        <w:rPr>
          <w:rFonts w:hint="eastAsia" w:ascii="方正仿宋_GBK" w:hAnsi="方正仿宋_GBK" w:cs="方正仿宋_GBK"/>
          <w:kern w:val="2"/>
        </w:rPr>
        <w:t>号）等有关规定，结合工作实际，制定《</w:t>
      </w:r>
      <w:r>
        <w:rPr>
          <w:rFonts w:hint="eastAsia" w:ascii="方正仿宋_GBK" w:hAnsi="方正仿宋_GBK" w:eastAsia="方正仿宋_GBK" w:cs="方正仿宋_GBK"/>
          <w:kern w:val="2"/>
          <w:sz w:val="32"/>
          <w:szCs w:val="32"/>
        </w:rPr>
        <w:t>重庆市</w:t>
      </w:r>
      <w:r>
        <w:rPr>
          <w:rFonts w:hint="eastAsia" w:ascii="方正仿宋_GBK" w:hAnsi="方正仿宋_GBK" w:eastAsia="方正仿宋_GBK" w:cs="方正仿宋_GBK"/>
          <w:bCs w:val="0"/>
          <w:kern w:val="2"/>
          <w:sz w:val="32"/>
          <w:szCs w:val="32"/>
        </w:rPr>
        <w:t>现代</w:t>
      </w:r>
      <w:r>
        <w:rPr>
          <w:rFonts w:hint="eastAsia" w:ascii="方正仿宋_GBK" w:hAnsi="方正仿宋_GBK" w:eastAsia="方正仿宋_GBK" w:cs="方正仿宋_GBK"/>
          <w:kern w:val="2"/>
          <w:sz w:val="32"/>
          <w:szCs w:val="32"/>
        </w:rPr>
        <w:t>生产性服务业专项资金管理办法</w:t>
      </w:r>
      <w:r>
        <w:rPr>
          <w:rFonts w:hint="eastAsia" w:ascii="方正仿宋_GBK" w:hAnsi="方正仿宋_GBK" w:cs="方正仿宋_GBK"/>
          <w:kern w:val="2"/>
        </w:rPr>
        <w:t>》。</w:t>
      </w:r>
      <w:r>
        <w:rPr>
          <w:rFonts w:hint="eastAsia" w:ascii="方正仿宋_GBK" w:hAnsi="方正仿宋_GBK" w:cs="方正仿宋_GBK"/>
        </w:rPr>
        <w:t>经市政府同意，现印发给你们，请认真贯彻执行。</w:t>
      </w:r>
    </w:p>
    <w:p>
      <w:pPr>
        <w:keepNext w:val="0"/>
        <w:keepLines w:val="0"/>
        <w:pageBreakBefore w:val="0"/>
        <w:kinsoku/>
        <w:wordWrap/>
        <w:overflowPunct w:val="0"/>
        <w:topLinePunct w:val="0"/>
        <w:autoSpaceDE/>
        <w:autoSpaceDN/>
        <w:bidi w:val="0"/>
        <w:adjustRightInd/>
        <w:spacing w:before="0" w:beforeLines="0" w:beforeAutospacing="0" w:after="0" w:afterLines="0" w:afterAutospacing="0" w:line="240" w:lineRule="auto"/>
        <w:ind w:firstLine="0" w:firstLineChars="0"/>
        <w:textAlignment w:val="auto"/>
        <w:outlineLvl w:val="9"/>
        <w:rPr>
          <w:rFonts w:hint="eastAsia" w:ascii="方正仿宋_GBK" w:hAnsi="方正仿宋_GBK" w:eastAsia="方正仿宋_GBK" w:cs="方正仿宋_GBK"/>
          <w:kern w:val="0"/>
        </w:rPr>
      </w:pPr>
    </w:p>
    <w:p>
      <w:pPr>
        <w:keepNext w:val="0"/>
        <w:keepLines w:val="0"/>
        <w:pageBreakBefore w:val="0"/>
        <w:kinsoku/>
        <w:wordWrap/>
        <w:overflowPunct w:val="0"/>
        <w:topLinePunct w:val="0"/>
        <w:autoSpaceDE/>
        <w:autoSpaceDN/>
        <w:bidi w:val="0"/>
        <w:adjustRightInd/>
        <w:spacing w:before="0" w:beforeLines="0" w:beforeAutospacing="0" w:after="0" w:afterLines="0" w:afterAutospacing="0" w:line="240" w:lineRule="auto"/>
        <w:ind w:firstLine="0" w:firstLineChars="0"/>
        <w:textAlignment w:val="auto"/>
        <w:outlineLvl w:val="9"/>
        <w:rPr>
          <w:rFonts w:hint="eastAsia" w:ascii="方正仿宋_GBK" w:hAnsi="方正仿宋_GBK" w:eastAsia="方正仿宋_GBK" w:cs="方正仿宋_GBK"/>
          <w:kern w:val="0"/>
        </w:rPr>
      </w:pPr>
    </w:p>
    <w:p>
      <w:pPr>
        <w:keepNext w:val="0"/>
        <w:keepLines w:val="0"/>
        <w:pageBreakBefore w:val="0"/>
        <w:numPr>
          <w:ilvl w:val="0"/>
          <w:numId w:val="0"/>
        </w:numPr>
        <w:suppressAutoHyphens/>
        <w:kinsoku/>
        <w:wordWrap/>
        <w:overflowPunct w:val="0"/>
        <w:topLinePunct w:val="0"/>
        <w:autoSpaceDE/>
        <w:autoSpaceDN/>
        <w:bidi w:val="0"/>
        <w:adjustRightInd/>
        <w:snapToGrid/>
        <w:spacing w:before="0" w:beforeLines="0" w:after="0" w:afterLines="0" w:line="240" w:lineRule="auto"/>
        <w:ind w:left="0" w:leftChars="0" w:firstLine="0" w:firstLineChars="0"/>
        <w:textAlignment w:val="center"/>
        <w:outlineLvl w:val="9"/>
        <w:rPr>
          <w:kern w:val="0"/>
        </w:rPr>
      </w:pPr>
      <w:r>
        <w:rPr>
          <w:rFonts w:hint="eastAsia"/>
          <w:kern w:val="2"/>
        </w:rPr>
        <w:t xml:space="preserve">  </w:t>
      </w:r>
      <w:r>
        <w:rPr>
          <w:kern w:val="2"/>
        </w:rPr>
        <w:t xml:space="preserve">重庆市发展和改革委员会  </w:t>
      </w:r>
      <w:r>
        <w:rPr>
          <w:rFonts w:hint="eastAsia"/>
          <w:kern w:val="2"/>
        </w:rPr>
        <w:t xml:space="preserve">        重庆市财政局</w:t>
      </w:r>
    </w:p>
    <w:p>
      <w:pPr>
        <w:overflowPunct w:val="0"/>
        <w:adjustRightInd/>
        <w:spacing w:after="0" w:line="240" w:lineRule="auto"/>
        <w:textAlignment w:val="auto"/>
        <w:rPr>
          <w:rFonts w:hint="eastAsia"/>
          <w:kern w:val="2"/>
          <w:lang w:val="en-US" w:eastAsia="zh-CN"/>
        </w:rPr>
        <w:sectPr>
          <w:headerReference r:id="rId5" w:type="default"/>
          <w:footerReference r:id="rId6" w:type="default"/>
          <w:pgSz w:w="11906" w:h="16838"/>
          <w:pgMar w:top="2098" w:right="1531" w:bottom="1984" w:left="1531" w:header="851" w:footer="1417" w:gutter="0"/>
          <w:pgNumType w:fmt="numberInDash"/>
          <w:cols w:space="0" w:num="1"/>
          <w:rtlGutter w:val="0"/>
          <w:docGrid w:type="linesAndChars" w:linePitch="579" w:charSpace="-849"/>
        </w:sectPr>
      </w:pPr>
      <w:r>
        <w:rPr>
          <w:kern w:val="2"/>
        </w:rPr>
        <w:t xml:space="preserve">              </w:t>
      </w:r>
      <w:r>
        <w:rPr>
          <w:rFonts w:hint="eastAsia"/>
          <w:kern w:val="2"/>
          <w:lang w:val="en-US" w:eastAsia="zh-CN"/>
        </w:rPr>
        <w:t xml:space="preserve"> </w:t>
      </w:r>
      <w:r>
        <w:rPr>
          <w:kern w:val="2"/>
        </w:rPr>
        <w:t xml:space="preserve">  </w:t>
      </w:r>
      <w:r>
        <w:rPr>
          <w:rFonts w:hint="eastAsia"/>
          <w:kern w:val="2"/>
        </w:rPr>
        <w:t xml:space="preserve">           </w:t>
      </w:r>
      <w:r>
        <w:rPr>
          <w:rFonts w:hint="eastAsia"/>
          <w:kern w:val="2"/>
          <w:lang w:val="en-US" w:eastAsia="zh-CN"/>
        </w:rPr>
        <w:t xml:space="preserve"> </w:t>
      </w:r>
      <w:r>
        <w:rPr>
          <w:kern w:val="2"/>
        </w:rPr>
        <w:t xml:space="preserve"> </w:t>
      </w:r>
      <w:r>
        <w:rPr>
          <w:rFonts w:hint="eastAsia"/>
          <w:kern w:val="2"/>
        </w:rPr>
        <w:t xml:space="preserve"> </w:t>
      </w:r>
      <w:r>
        <w:rPr>
          <w:kern w:val="2"/>
        </w:rPr>
        <w:t xml:space="preserve"> 2024年</w:t>
      </w:r>
      <w:r>
        <w:rPr>
          <w:rFonts w:hint="eastAsia"/>
          <w:kern w:val="2"/>
        </w:rPr>
        <w:t>11</w:t>
      </w:r>
      <w:r>
        <w:rPr>
          <w:kern w:val="2"/>
        </w:rPr>
        <w:t>月</w:t>
      </w:r>
      <w:r>
        <w:rPr>
          <w:rFonts w:hint="eastAsia"/>
          <w:kern w:val="2"/>
          <w:lang w:val="en-US" w:eastAsia="zh-CN"/>
        </w:rPr>
        <w:t>19</w:t>
      </w:r>
      <w:r>
        <w:rPr>
          <w:kern w:val="2"/>
        </w:rPr>
        <w:t>日</w:t>
      </w:r>
      <w:r>
        <w:rPr>
          <w:rFonts w:hint="eastAsia"/>
          <w:kern w:val="2"/>
        </w:rPr>
        <w:t xml:space="preserve">      </w:t>
      </w:r>
      <w:r>
        <w:rPr>
          <w:rFonts w:hint="eastAsia"/>
          <w:kern w:val="2"/>
          <w:lang w:val="en-US" w:eastAsia="zh-CN"/>
        </w:rPr>
        <w:t xml:space="preserve">  </w:t>
      </w:r>
    </w:p>
    <w:p>
      <w:pPr>
        <w:overflowPunct w:val="0"/>
        <w:adjustRightInd/>
        <w:spacing w:after="0" w:line="240" w:lineRule="auto"/>
        <w:textAlignment w:val="auto"/>
        <w:rPr>
          <w:rFonts w:hint="eastAsia"/>
          <w:kern w:val="2"/>
          <w:lang w:val="en-US" w:eastAsia="zh-CN"/>
        </w:rPr>
      </w:pPr>
    </w:p>
    <w:p>
      <w:pPr>
        <w:overflowPunct w:val="0"/>
        <w:adjustRightInd/>
        <w:spacing w:before="0" w:beforeLines="0" w:after="0" w:afterLines="0" w:line="580" w:lineRule="exact"/>
        <w:jc w:val="center"/>
        <w:textAlignment w:val="center"/>
        <w:rPr>
          <w:rFonts w:eastAsia="方正小标宋_GBK"/>
          <w:kern w:val="0"/>
          <w:sz w:val="44"/>
          <w:szCs w:val="44"/>
        </w:rPr>
      </w:pPr>
      <w:r>
        <w:rPr>
          <w:rFonts w:eastAsia="方正小标宋_GBK"/>
          <w:kern w:val="2"/>
          <w:sz w:val="44"/>
          <w:szCs w:val="44"/>
        </w:rPr>
        <w:t>重庆市</w:t>
      </w:r>
      <w:r>
        <w:rPr>
          <w:rFonts w:eastAsia="方正小标宋_GBK"/>
          <w:bCs/>
          <w:kern w:val="2"/>
          <w:sz w:val="44"/>
          <w:szCs w:val="44"/>
        </w:rPr>
        <w:t>现代</w:t>
      </w:r>
      <w:r>
        <w:rPr>
          <w:rFonts w:eastAsia="方正小标宋_GBK"/>
          <w:kern w:val="2"/>
          <w:sz w:val="44"/>
          <w:szCs w:val="44"/>
        </w:rPr>
        <w:t>生产性服务业专项资金管理办法</w:t>
      </w:r>
    </w:p>
    <w:p>
      <w:pPr>
        <w:overflowPunct w:val="0"/>
        <w:adjustRightInd/>
        <w:spacing w:before="0" w:beforeLines="0" w:after="0" w:afterLines="0" w:line="240" w:lineRule="auto"/>
        <w:textAlignment w:val="auto"/>
        <w:rPr>
          <w:rFonts w:hint="eastAsia" w:ascii="方正仿宋_GBK" w:hAnsi="方正仿宋_GBK" w:eastAsia="方正仿宋_GBK" w:cs="方正仿宋_GBK"/>
          <w:kern w:val="0"/>
        </w:rPr>
      </w:pPr>
    </w:p>
    <w:p>
      <w:pPr>
        <w:overflowPunct w:val="0"/>
        <w:adjustRightInd/>
        <w:spacing w:before="0" w:beforeLines="0" w:after="0" w:afterLines="0" w:line="240" w:lineRule="auto"/>
        <w:ind w:firstLine="0" w:firstLineChars="0"/>
        <w:jc w:val="center"/>
        <w:textAlignment w:val="auto"/>
        <w:rPr>
          <w:rFonts w:eastAsia="方正黑体_GBK"/>
          <w:kern w:val="0"/>
        </w:rPr>
      </w:pPr>
      <w:r>
        <w:rPr>
          <w:rFonts w:eastAsia="方正黑体_GBK"/>
          <w:kern w:val="2"/>
        </w:rPr>
        <w:t>第一章  总  则</w:t>
      </w:r>
    </w:p>
    <w:p>
      <w:pPr>
        <w:overflowPunct w:val="0"/>
        <w:adjustRightInd/>
        <w:spacing w:before="0" w:beforeLines="0" w:after="0" w:afterLines="0" w:line="240" w:lineRule="auto"/>
        <w:ind w:firstLine="632" w:firstLineChars="200"/>
        <w:textAlignment w:val="auto"/>
        <w:rPr>
          <w:kern w:val="0"/>
        </w:rPr>
      </w:pPr>
      <w:r>
        <w:rPr>
          <w:rFonts w:eastAsia="方正黑体_GBK"/>
          <w:kern w:val="2"/>
        </w:rPr>
        <w:t>第一条</w:t>
      </w:r>
      <w:r>
        <w:rPr>
          <w:rFonts w:hint="eastAsia" w:eastAsia="方正黑体_GBK"/>
          <w:kern w:val="2"/>
        </w:rPr>
        <w:t xml:space="preserve"> </w:t>
      </w:r>
      <w:r>
        <w:rPr>
          <w:rFonts w:eastAsia="方正黑体_GBK"/>
          <w:kern w:val="2"/>
        </w:rPr>
        <w:t xml:space="preserve"> </w:t>
      </w:r>
      <w:r>
        <w:rPr>
          <w:kern w:val="2"/>
        </w:rPr>
        <w:t>为规范现代生产性服务业专项资金的管理和使用，提高财政资金使用效益，根据《中华人民共和国预算法》及其实施条例、《重庆市人民政府办公厅关于印发重庆市市级预算管理办法等6个办法的通知》（渝府办发〔2021〕139号）和《重庆市加速推进现代生产性服务业高质量发展行动方案（2024—2027年）》（渝府发〔2024〕18号）等有关规定，结合工作实际，制定本办法。</w:t>
      </w:r>
    </w:p>
    <w:p>
      <w:pPr>
        <w:overflowPunct w:val="0"/>
        <w:adjustRightInd/>
        <w:spacing w:before="0" w:beforeLines="0" w:after="0" w:afterLines="0" w:line="240" w:lineRule="auto"/>
        <w:ind w:firstLine="632" w:firstLineChars="200"/>
        <w:textAlignment w:val="auto"/>
        <w:rPr>
          <w:kern w:val="0"/>
        </w:rPr>
      </w:pPr>
      <w:r>
        <w:rPr>
          <w:rFonts w:eastAsia="方正黑体_GBK"/>
          <w:kern w:val="2"/>
        </w:rPr>
        <w:t>第二条</w:t>
      </w:r>
      <w:r>
        <w:rPr>
          <w:rFonts w:hint="eastAsia" w:eastAsia="方正黑体_GBK"/>
          <w:kern w:val="2"/>
        </w:rPr>
        <w:t xml:space="preserve"> </w:t>
      </w:r>
      <w:r>
        <w:rPr>
          <w:rFonts w:eastAsia="方正黑体_GBK"/>
          <w:kern w:val="2"/>
        </w:rPr>
        <w:t xml:space="preserve"> </w:t>
      </w:r>
      <w:r>
        <w:rPr>
          <w:kern w:val="2"/>
        </w:rPr>
        <w:t>本办法所称现代生产性服务业专项资金（以下简称</w:t>
      </w:r>
      <w:r>
        <w:rPr>
          <w:rFonts w:hint="eastAsia" w:ascii="方正仿宋_GBK" w:hAnsi="方正仿宋_GBK" w:cs="方正仿宋_GBK"/>
          <w:kern w:val="2"/>
        </w:rPr>
        <w:t>“</w:t>
      </w:r>
      <w:r>
        <w:rPr>
          <w:kern w:val="2"/>
        </w:rPr>
        <w:t>专项资金</w:t>
      </w:r>
      <w:r>
        <w:rPr>
          <w:rFonts w:hint="eastAsia" w:ascii="方正仿宋_GBK" w:hAnsi="方正仿宋_GBK" w:cs="方正仿宋_GBK"/>
          <w:kern w:val="2"/>
        </w:rPr>
        <w:t>”</w:t>
      </w:r>
      <w:r>
        <w:rPr>
          <w:kern w:val="2"/>
        </w:rPr>
        <w:t>）是指由市级财政预算安排，纳入市发展改革委部门预算管理，用于支持我市现代生产性服务业发展的专项资金。</w:t>
      </w:r>
    </w:p>
    <w:p>
      <w:pPr>
        <w:overflowPunct w:val="0"/>
        <w:adjustRightInd/>
        <w:spacing w:before="0" w:beforeLines="0" w:after="0" w:afterLines="0" w:line="240" w:lineRule="auto"/>
        <w:ind w:firstLine="632" w:firstLineChars="200"/>
        <w:textAlignment w:val="auto"/>
        <w:rPr>
          <w:kern w:val="0"/>
        </w:rPr>
      </w:pPr>
      <w:r>
        <w:rPr>
          <w:rFonts w:eastAsia="方正黑体_GBK"/>
          <w:kern w:val="2"/>
        </w:rPr>
        <w:t>第三条</w:t>
      </w:r>
      <w:r>
        <w:rPr>
          <w:rFonts w:hint="eastAsia" w:eastAsia="方正黑体_GBK"/>
          <w:kern w:val="2"/>
        </w:rPr>
        <w:t xml:space="preserve"> </w:t>
      </w:r>
      <w:r>
        <w:rPr>
          <w:rFonts w:eastAsia="方正黑体_GBK"/>
          <w:kern w:val="2"/>
        </w:rPr>
        <w:t xml:space="preserve"> </w:t>
      </w:r>
      <w:r>
        <w:rPr>
          <w:kern w:val="2"/>
        </w:rPr>
        <w:t>专项资金的管理和使用遵循</w:t>
      </w:r>
      <w:r>
        <w:rPr>
          <w:rFonts w:hint="eastAsia" w:ascii="方正仿宋_GBK" w:hAnsi="方正仿宋_GBK" w:cs="方正仿宋_GBK"/>
          <w:kern w:val="2"/>
        </w:rPr>
        <w:t>“</w:t>
      </w:r>
      <w:r>
        <w:rPr>
          <w:kern w:val="2"/>
        </w:rPr>
        <w:t>公开、公正、规范、透明、绩效</w:t>
      </w:r>
      <w:r>
        <w:rPr>
          <w:rFonts w:hint="eastAsia" w:ascii="方正仿宋_GBK" w:hAnsi="方正仿宋_GBK" w:cs="方正仿宋_GBK"/>
          <w:kern w:val="2"/>
        </w:rPr>
        <w:t>”</w:t>
      </w:r>
      <w:r>
        <w:rPr>
          <w:kern w:val="2"/>
        </w:rPr>
        <w:t>原则，接受有关部门和社会监督。专项资金实行专款专用、专项管理，确保专项资金使用规范、安全和高效。</w:t>
      </w:r>
    </w:p>
    <w:p>
      <w:pPr>
        <w:overflowPunct w:val="0"/>
        <w:adjustRightInd/>
        <w:spacing w:before="0" w:beforeLines="0" w:after="0" w:afterLines="0" w:line="240" w:lineRule="auto"/>
        <w:ind w:firstLine="632" w:firstLineChars="200"/>
        <w:textAlignment w:val="auto"/>
        <w:rPr>
          <w:kern w:val="0"/>
        </w:rPr>
      </w:pPr>
    </w:p>
    <w:p>
      <w:pPr>
        <w:overflowPunct w:val="0"/>
        <w:adjustRightInd/>
        <w:spacing w:before="0" w:beforeLines="0" w:after="0" w:afterLines="0" w:line="240" w:lineRule="auto"/>
        <w:ind w:firstLine="0" w:firstLineChars="0"/>
        <w:jc w:val="center"/>
        <w:textAlignment w:val="auto"/>
        <w:rPr>
          <w:rFonts w:eastAsia="方正黑体_GBK"/>
          <w:kern w:val="0"/>
        </w:rPr>
      </w:pPr>
      <w:r>
        <w:rPr>
          <w:rFonts w:eastAsia="方正黑体_GBK"/>
          <w:kern w:val="2"/>
        </w:rPr>
        <w:t>第二章  职责分工</w:t>
      </w:r>
    </w:p>
    <w:p>
      <w:pPr>
        <w:overflowPunct w:val="0"/>
        <w:adjustRightInd/>
        <w:spacing w:before="0" w:beforeLines="0" w:after="0" w:afterLines="0" w:line="240" w:lineRule="auto"/>
        <w:ind w:firstLine="632" w:firstLineChars="200"/>
        <w:textAlignment w:val="auto"/>
        <w:rPr>
          <w:kern w:val="0"/>
        </w:rPr>
      </w:pPr>
      <w:r>
        <w:rPr>
          <w:rFonts w:eastAsia="方正黑体_GBK"/>
          <w:kern w:val="2"/>
        </w:rPr>
        <w:t>第四条</w:t>
      </w:r>
      <w:r>
        <w:rPr>
          <w:rFonts w:hint="eastAsia" w:eastAsia="方正黑体_GBK"/>
          <w:kern w:val="2"/>
        </w:rPr>
        <w:t xml:space="preserve"> </w:t>
      </w:r>
      <w:r>
        <w:rPr>
          <w:rFonts w:eastAsia="方正黑体_GBK"/>
          <w:kern w:val="2"/>
        </w:rPr>
        <w:t xml:space="preserve"> </w:t>
      </w:r>
      <w:r>
        <w:rPr>
          <w:kern w:val="2"/>
        </w:rPr>
        <w:t>专项资金由市发展改革委、市财政局按照职责分工共同管理。</w:t>
      </w:r>
    </w:p>
    <w:p>
      <w:pPr>
        <w:overflowPunct w:val="0"/>
        <w:adjustRightInd/>
        <w:spacing w:before="0" w:beforeLines="0" w:after="0" w:afterLines="0" w:line="240" w:lineRule="auto"/>
        <w:ind w:firstLine="632" w:firstLineChars="200"/>
        <w:textAlignment w:val="auto"/>
        <w:rPr>
          <w:kern w:val="0"/>
        </w:rPr>
      </w:pPr>
      <w:r>
        <w:rPr>
          <w:kern w:val="2"/>
        </w:rPr>
        <w:t>市发展改革委是专项资金主管部门，负责编制专项资金年度预算，确定重点支持方向，组织资金申报、评审、审定、验收等工作，开展专项资金日常管理，并对具体项目</w:t>
      </w:r>
      <w:r>
        <w:rPr>
          <w:rFonts w:hint="eastAsia"/>
          <w:kern w:val="2"/>
        </w:rPr>
        <w:t>（任务）</w:t>
      </w:r>
      <w:r>
        <w:rPr>
          <w:kern w:val="2"/>
        </w:rPr>
        <w:t>实施及其资金的使用情况</w:t>
      </w:r>
      <w:r>
        <w:rPr>
          <w:rFonts w:hint="eastAsia"/>
          <w:kern w:val="2"/>
        </w:rPr>
        <w:t>等</w:t>
      </w:r>
      <w:r>
        <w:rPr>
          <w:kern w:val="2"/>
        </w:rPr>
        <w:t>进行监督检查和绩效评价。</w:t>
      </w:r>
    </w:p>
    <w:p>
      <w:pPr>
        <w:overflowPunct w:val="0"/>
        <w:adjustRightInd/>
        <w:spacing w:before="0" w:beforeLines="0" w:after="0" w:afterLines="0" w:line="240" w:lineRule="auto"/>
        <w:ind w:firstLine="632" w:firstLineChars="200"/>
        <w:textAlignment w:val="auto"/>
        <w:rPr>
          <w:kern w:val="0"/>
        </w:rPr>
      </w:pPr>
      <w:r>
        <w:rPr>
          <w:kern w:val="2"/>
        </w:rPr>
        <w:t>市财政局负责专项资金的预算管理和资金下达，对专项资金的使用情况进行监督检查，指导推进专项资金绩效管理工作。</w:t>
      </w:r>
    </w:p>
    <w:p>
      <w:pPr>
        <w:overflowPunct w:val="0"/>
        <w:adjustRightInd/>
        <w:spacing w:before="0" w:beforeLines="0" w:after="0" w:afterLines="0" w:line="240" w:lineRule="auto"/>
        <w:ind w:firstLine="632" w:firstLineChars="200"/>
        <w:textAlignment w:val="auto"/>
        <w:rPr>
          <w:kern w:val="0"/>
        </w:rPr>
      </w:pPr>
      <w:r>
        <w:rPr>
          <w:kern w:val="2"/>
        </w:rPr>
        <w:t>市级行业主管部门</w:t>
      </w:r>
      <w:r>
        <w:rPr>
          <w:rFonts w:hint="eastAsia"/>
          <w:kern w:val="2"/>
        </w:rPr>
        <w:t>负责</w:t>
      </w:r>
      <w:r>
        <w:rPr>
          <w:kern w:val="2"/>
        </w:rPr>
        <w:t>推荐本行业领域内具有示范带动作用的重大生产性服务业项目，参与项目（任务）</w:t>
      </w:r>
      <w:r>
        <w:rPr>
          <w:rFonts w:hint="eastAsia"/>
          <w:kern w:val="2"/>
        </w:rPr>
        <w:t>申报、</w:t>
      </w:r>
      <w:r>
        <w:rPr>
          <w:kern w:val="2"/>
        </w:rPr>
        <w:t>评审、审定、验收等，协同开展专项资金事中事后监管工作。</w:t>
      </w:r>
    </w:p>
    <w:p>
      <w:pPr>
        <w:overflowPunct w:val="0"/>
        <w:adjustRightInd/>
        <w:spacing w:before="0" w:beforeLines="0" w:after="0" w:afterLines="0" w:line="240" w:lineRule="auto"/>
        <w:ind w:firstLine="632" w:firstLineChars="200"/>
        <w:textAlignment w:val="auto"/>
        <w:rPr>
          <w:kern w:val="0"/>
        </w:rPr>
      </w:pPr>
      <w:r>
        <w:rPr>
          <w:rFonts w:eastAsia="方正黑体_GBK"/>
          <w:kern w:val="2"/>
        </w:rPr>
        <w:t>第五条</w:t>
      </w:r>
      <w:r>
        <w:rPr>
          <w:rFonts w:hint="eastAsia" w:eastAsia="方正黑体_GBK"/>
          <w:kern w:val="2"/>
        </w:rPr>
        <w:t xml:space="preserve"> </w:t>
      </w:r>
      <w:r>
        <w:rPr>
          <w:rFonts w:eastAsia="方正黑体_GBK"/>
          <w:kern w:val="2"/>
        </w:rPr>
        <w:t xml:space="preserve"> </w:t>
      </w:r>
      <w:r>
        <w:rPr>
          <w:kern w:val="2"/>
        </w:rPr>
        <w:t>区县（自治县，以下统称区县）发展改革部门会同相关行业主管部门，组织开展辖区项目</w:t>
      </w:r>
      <w:r>
        <w:rPr>
          <w:rFonts w:hint="eastAsia"/>
          <w:kern w:val="2"/>
        </w:rPr>
        <w:t>（任务）</w:t>
      </w:r>
      <w:r>
        <w:rPr>
          <w:kern w:val="2"/>
        </w:rPr>
        <w:t>申报、初审、监督、验收和绩效管理等工作。</w:t>
      </w:r>
    </w:p>
    <w:p>
      <w:pPr>
        <w:overflowPunct w:val="0"/>
        <w:adjustRightInd/>
        <w:spacing w:before="0" w:beforeLines="0" w:after="0" w:afterLines="0" w:line="240" w:lineRule="auto"/>
        <w:ind w:firstLine="632" w:firstLineChars="200"/>
        <w:textAlignment w:val="auto"/>
        <w:rPr>
          <w:kern w:val="0"/>
        </w:rPr>
      </w:pPr>
      <w:r>
        <w:rPr>
          <w:kern w:val="2"/>
        </w:rPr>
        <w:t>区县财政部门配合区县发展改革部门做好项目</w:t>
      </w:r>
      <w:r>
        <w:rPr>
          <w:rFonts w:hint="eastAsia"/>
          <w:kern w:val="2"/>
        </w:rPr>
        <w:t>（任务）</w:t>
      </w:r>
      <w:r>
        <w:rPr>
          <w:kern w:val="2"/>
        </w:rPr>
        <w:t>申报等工作，根据项目</w:t>
      </w:r>
      <w:r>
        <w:rPr>
          <w:rFonts w:hint="eastAsia"/>
          <w:kern w:val="2"/>
        </w:rPr>
        <w:t>（任务）</w:t>
      </w:r>
      <w:r>
        <w:rPr>
          <w:kern w:val="2"/>
        </w:rPr>
        <w:t>计划和资金文件，及时拨付专项资金，开展辖区内项目</w:t>
      </w:r>
      <w:r>
        <w:rPr>
          <w:rFonts w:hint="eastAsia"/>
          <w:kern w:val="2"/>
        </w:rPr>
        <w:t>（任务）</w:t>
      </w:r>
      <w:r>
        <w:rPr>
          <w:kern w:val="2"/>
        </w:rPr>
        <w:t>资金的财政监督工作。</w:t>
      </w:r>
    </w:p>
    <w:p>
      <w:pPr>
        <w:overflowPunct w:val="0"/>
        <w:adjustRightInd/>
        <w:spacing w:before="0" w:beforeLines="0" w:after="0" w:afterLines="0" w:line="240" w:lineRule="auto"/>
        <w:ind w:firstLine="632" w:firstLineChars="200"/>
        <w:textAlignment w:val="auto"/>
        <w:rPr>
          <w:kern w:val="0"/>
        </w:rPr>
      </w:pPr>
      <w:r>
        <w:rPr>
          <w:rFonts w:eastAsia="方正黑体_GBK"/>
          <w:kern w:val="2"/>
        </w:rPr>
        <w:t>第六条</w:t>
      </w:r>
      <w:r>
        <w:rPr>
          <w:rFonts w:hint="eastAsia" w:eastAsia="方正黑体_GBK"/>
          <w:kern w:val="2"/>
        </w:rPr>
        <w:t xml:space="preserve"> </w:t>
      </w:r>
      <w:r>
        <w:rPr>
          <w:rFonts w:eastAsia="方正黑体_GBK"/>
          <w:kern w:val="2"/>
        </w:rPr>
        <w:t xml:space="preserve"> </w:t>
      </w:r>
      <w:r>
        <w:rPr>
          <w:kern w:val="2"/>
        </w:rPr>
        <w:t>资金申报、使用单位承担资金真实申报、合规使用和有效管理的主体责任，对申报材料、绩效目标的真实性、准确性、完整性负责，申报时需同时出具真实性承诺书，并严格按照有关规定使用资金，接受有关部门和社会监督。</w:t>
      </w:r>
    </w:p>
    <w:p>
      <w:pPr>
        <w:overflowPunct w:val="0"/>
        <w:adjustRightInd/>
        <w:spacing w:before="0" w:beforeLines="0" w:after="0" w:afterLines="0" w:line="240" w:lineRule="auto"/>
        <w:ind w:firstLine="632" w:firstLineChars="200"/>
        <w:textAlignment w:val="auto"/>
        <w:rPr>
          <w:kern w:val="0"/>
        </w:rPr>
      </w:pPr>
    </w:p>
    <w:p>
      <w:pPr>
        <w:overflowPunct w:val="0"/>
        <w:adjustRightInd/>
        <w:spacing w:before="0" w:beforeLines="0" w:after="0" w:afterLines="0" w:line="240" w:lineRule="auto"/>
        <w:ind w:firstLine="0" w:firstLineChars="0"/>
        <w:jc w:val="center"/>
        <w:textAlignment w:val="auto"/>
        <w:rPr>
          <w:rFonts w:eastAsia="方正黑体_GBK"/>
          <w:kern w:val="0"/>
        </w:rPr>
      </w:pPr>
      <w:r>
        <w:rPr>
          <w:rFonts w:eastAsia="方正黑体_GBK"/>
          <w:kern w:val="2"/>
        </w:rPr>
        <w:t>第三章  使用范围和支持方式</w:t>
      </w:r>
    </w:p>
    <w:p>
      <w:pPr>
        <w:overflowPunct w:val="0"/>
        <w:adjustRightInd/>
        <w:spacing w:before="0" w:beforeLines="0" w:after="0" w:afterLines="0" w:line="240" w:lineRule="auto"/>
        <w:ind w:firstLine="632" w:firstLineChars="200"/>
        <w:textAlignment w:val="auto"/>
        <w:rPr>
          <w:kern w:val="0"/>
        </w:rPr>
      </w:pPr>
      <w:r>
        <w:rPr>
          <w:rFonts w:eastAsia="方正黑体_GBK"/>
          <w:kern w:val="2"/>
        </w:rPr>
        <w:t>第七条</w:t>
      </w:r>
      <w:r>
        <w:rPr>
          <w:rFonts w:hint="eastAsia" w:eastAsia="方正黑体_GBK"/>
          <w:kern w:val="2"/>
        </w:rPr>
        <w:t xml:space="preserve"> </w:t>
      </w:r>
      <w:r>
        <w:rPr>
          <w:rFonts w:eastAsia="方正黑体_GBK"/>
          <w:kern w:val="2"/>
        </w:rPr>
        <w:t xml:space="preserve"> </w:t>
      </w:r>
      <w:r>
        <w:rPr>
          <w:kern w:val="2"/>
        </w:rPr>
        <w:t>专项资金</w:t>
      </w:r>
      <w:r>
        <w:rPr>
          <w:rFonts w:hint="eastAsia"/>
          <w:kern w:val="2"/>
        </w:rPr>
        <w:t>按照</w:t>
      </w:r>
      <w:r>
        <w:rPr>
          <w:kern w:val="2"/>
        </w:rPr>
        <w:t>《重庆市加速推进现代生产性服务业高质量发展行动方案（2024—2027年）》（渝府发〔2024〕18号）要求，用于支持我市现代生产性服务业发展重点领域、重点区域、重点项目等，聚焦新赛道、培育新业态，提升生产性服务业品质化、数字化、融合化、绿色化、国际化水平。主要用于以下方面：</w:t>
      </w:r>
    </w:p>
    <w:p>
      <w:pPr>
        <w:overflowPunct w:val="0"/>
        <w:adjustRightInd/>
        <w:spacing w:before="0" w:beforeLines="0" w:after="0" w:afterLines="0" w:line="240" w:lineRule="auto"/>
        <w:ind w:firstLine="632" w:firstLineChars="200"/>
        <w:textAlignment w:val="auto"/>
        <w:rPr>
          <w:spacing w:val="0"/>
          <w:kern w:val="0"/>
        </w:rPr>
      </w:pPr>
      <w:r>
        <w:rPr>
          <w:kern w:val="2"/>
        </w:rPr>
        <w:t>（一）</w:t>
      </w:r>
      <w:r>
        <w:rPr>
          <w:spacing w:val="-6"/>
          <w:kern w:val="2"/>
        </w:rPr>
        <w:t>支持现代生产性服务业重点项目和公共服务平台建设。</w:t>
      </w:r>
    </w:p>
    <w:p>
      <w:pPr>
        <w:overflowPunct w:val="0"/>
        <w:adjustRightInd/>
        <w:spacing w:before="0" w:beforeLines="0" w:after="0" w:afterLines="0" w:line="240" w:lineRule="auto"/>
        <w:ind w:firstLine="632" w:firstLineChars="200"/>
        <w:textAlignment w:val="auto"/>
        <w:rPr>
          <w:spacing w:val="0"/>
          <w:kern w:val="0"/>
        </w:rPr>
      </w:pPr>
      <w:r>
        <w:rPr>
          <w:kern w:val="2"/>
        </w:rPr>
        <w:t>（二）</w:t>
      </w:r>
      <w:r>
        <w:rPr>
          <w:spacing w:val="-11"/>
          <w:kern w:val="2"/>
        </w:rPr>
        <w:t>支持</w:t>
      </w:r>
      <w:r>
        <w:rPr>
          <w:rFonts w:hint="default"/>
          <w:spacing w:val="-11"/>
          <w:kern w:val="2"/>
        </w:rPr>
        <w:t>现代</w:t>
      </w:r>
      <w:r>
        <w:rPr>
          <w:spacing w:val="-11"/>
          <w:kern w:val="2"/>
        </w:rPr>
        <w:t>生产性服务业集聚区建设及重点楼宇提质增效。</w:t>
      </w:r>
    </w:p>
    <w:p>
      <w:pPr>
        <w:overflowPunct w:val="0"/>
        <w:adjustRightInd/>
        <w:spacing w:before="0" w:beforeLines="0" w:after="0" w:afterLines="0" w:line="240" w:lineRule="auto"/>
        <w:ind w:firstLine="632" w:firstLineChars="200"/>
        <w:textAlignment w:val="auto"/>
        <w:rPr>
          <w:kern w:val="0"/>
        </w:rPr>
      </w:pPr>
      <w:r>
        <w:rPr>
          <w:kern w:val="2"/>
        </w:rPr>
        <w:t>（三）支持现代生产性服务业企业做优做大做强，促进市场主体梯次培育。</w:t>
      </w:r>
    </w:p>
    <w:p>
      <w:pPr>
        <w:overflowPunct w:val="0"/>
        <w:adjustRightInd/>
        <w:spacing w:before="0" w:beforeLines="0" w:after="0" w:afterLines="0" w:line="240" w:lineRule="auto"/>
        <w:ind w:firstLine="632" w:firstLineChars="200"/>
        <w:textAlignment w:val="auto"/>
        <w:rPr>
          <w:kern w:val="0"/>
        </w:rPr>
      </w:pPr>
      <w:r>
        <w:rPr>
          <w:kern w:val="2"/>
        </w:rPr>
        <w:t>（四）支持完善现代生产性服务业发展的公共服务体系，促进优化营商环境。</w:t>
      </w:r>
    </w:p>
    <w:p>
      <w:pPr>
        <w:overflowPunct w:val="0"/>
        <w:adjustRightInd/>
        <w:spacing w:before="0" w:beforeLines="0" w:after="0" w:afterLines="0" w:line="240" w:lineRule="auto"/>
        <w:ind w:firstLine="632" w:firstLineChars="200"/>
        <w:textAlignment w:val="auto"/>
        <w:rPr>
          <w:kern w:val="0"/>
        </w:rPr>
      </w:pPr>
      <w:r>
        <w:rPr>
          <w:kern w:val="2"/>
        </w:rPr>
        <w:t>（五）经市政府研究确定支持的重大事项，国家有关部委明确要求由地方配套安排资金的事项或批准同意由地方安排资金实施的事项，按规定给予支持。</w:t>
      </w:r>
    </w:p>
    <w:p>
      <w:pPr>
        <w:overflowPunct w:val="0"/>
        <w:adjustRightInd/>
        <w:spacing w:before="0" w:beforeLines="0" w:after="0" w:afterLines="0" w:line="240" w:lineRule="auto"/>
        <w:ind w:firstLine="632" w:firstLineChars="200"/>
        <w:textAlignment w:val="auto"/>
        <w:rPr>
          <w:kern w:val="0"/>
        </w:rPr>
      </w:pPr>
      <w:r>
        <w:rPr>
          <w:rFonts w:eastAsia="方正黑体_GBK"/>
          <w:kern w:val="2"/>
        </w:rPr>
        <w:t>第八条</w:t>
      </w:r>
      <w:r>
        <w:rPr>
          <w:rFonts w:hint="eastAsia" w:eastAsia="方正黑体_GBK"/>
          <w:kern w:val="2"/>
        </w:rPr>
        <w:t xml:space="preserve"> </w:t>
      </w:r>
      <w:r>
        <w:rPr>
          <w:rFonts w:eastAsia="方正黑体_GBK"/>
          <w:kern w:val="2"/>
        </w:rPr>
        <w:t xml:space="preserve"> </w:t>
      </w:r>
      <w:r>
        <w:rPr>
          <w:kern w:val="2"/>
        </w:rPr>
        <w:t>专项资金通过公开申报、单项安排、政府采购等形式遴选项目</w:t>
      </w:r>
      <w:r>
        <w:rPr>
          <w:rFonts w:hint="eastAsia"/>
          <w:kern w:val="2"/>
        </w:rPr>
        <w:t>（任务）</w:t>
      </w:r>
      <w:r>
        <w:rPr>
          <w:kern w:val="2"/>
        </w:rPr>
        <w:t>，采取直接补助、事后奖励、考核评定、购买服务等支持方式。具体支持方式和标准在申报通知等文件中明确。</w:t>
      </w:r>
    </w:p>
    <w:p>
      <w:pPr>
        <w:overflowPunct w:val="0"/>
        <w:adjustRightInd/>
        <w:spacing w:before="0" w:beforeLines="0" w:after="0" w:afterLines="0" w:line="240" w:lineRule="auto"/>
        <w:ind w:firstLine="632" w:firstLineChars="200"/>
        <w:textAlignment w:val="auto"/>
        <w:rPr>
          <w:kern w:val="0"/>
        </w:rPr>
      </w:pPr>
    </w:p>
    <w:p>
      <w:pPr>
        <w:overflowPunct w:val="0"/>
        <w:adjustRightInd/>
        <w:spacing w:before="0" w:beforeLines="0" w:after="0" w:afterLines="0" w:line="240" w:lineRule="auto"/>
        <w:ind w:firstLine="0" w:firstLineChars="0"/>
        <w:jc w:val="center"/>
        <w:textAlignment w:val="auto"/>
        <w:rPr>
          <w:rFonts w:eastAsia="方正黑体_GBK"/>
          <w:kern w:val="0"/>
        </w:rPr>
      </w:pPr>
      <w:r>
        <w:rPr>
          <w:rFonts w:eastAsia="方正黑体_GBK"/>
          <w:kern w:val="2"/>
        </w:rPr>
        <w:t>第四章  预算管理</w:t>
      </w:r>
    </w:p>
    <w:p>
      <w:pPr>
        <w:overflowPunct w:val="0"/>
        <w:adjustRightInd/>
        <w:spacing w:before="0" w:beforeLines="0" w:after="0" w:afterLines="0" w:line="240" w:lineRule="auto"/>
        <w:ind w:firstLine="632" w:firstLineChars="200"/>
        <w:textAlignment w:val="auto"/>
        <w:rPr>
          <w:kern w:val="0"/>
        </w:rPr>
      </w:pPr>
      <w:r>
        <w:rPr>
          <w:rFonts w:eastAsia="方正黑体_GBK"/>
          <w:kern w:val="2"/>
        </w:rPr>
        <w:t>第九条</w:t>
      </w:r>
      <w:r>
        <w:rPr>
          <w:rFonts w:hint="eastAsia" w:eastAsia="方正黑体_GBK"/>
          <w:kern w:val="2"/>
        </w:rPr>
        <w:t xml:space="preserve">  </w:t>
      </w:r>
      <w:r>
        <w:rPr>
          <w:kern w:val="2"/>
        </w:rPr>
        <w:t>市发展改革委根据部门预算编制有关要求，确定下一年度支持重点，编制年度专项资金预算，纳入市发展改革委部门预算，按规定程序报送市财政局。市财政局根据有关政策规定，对专项资金支出预算进行初审，提交市级预算公开评审通过后，纳入财政年度收支预算草案，报市政府审议并提请市人民代表大会批准后，批复市发展改革委专项资金年度预算。</w:t>
      </w:r>
    </w:p>
    <w:p>
      <w:pPr>
        <w:overflowPunct w:val="0"/>
        <w:adjustRightInd/>
        <w:spacing w:before="0" w:beforeLines="0" w:after="0" w:afterLines="0" w:line="240" w:lineRule="auto"/>
        <w:ind w:firstLine="632" w:firstLineChars="200"/>
        <w:textAlignment w:val="auto"/>
        <w:rPr>
          <w:kern w:val="0"/>
        </w:rPr>
      </w:pPr>
      <w:r>
        <w:rPr>
          <w:rFonts w:eastAsia="方正黑体_GBK"/>
          <w:kern w:val="2"/>
        </w:rPr>
        <w:t>第十条</w:t>
      </w:r>
      <w:r>
        <w:rPr>
          <w:rFonts w:hint="eastAsia" w:eastAsia="方正黑体_GBK"/>
          <w:kern w:val="2"/>
        </w:rPr>
        <w:t xml:space="preserve"> </w:t>
      </w:r>
      <w:r>
        <w:rPr>
          <w:rFonts w:eastAsia="方正黑体_GBK"/>
          <w:kern w:val="2"/>
        </w:rPr>
        <w:t xml:space="preserve"> </w:t>
      </w:r>
      <w:r>
        <w:rPr>
          <w:kern w:val="2"/>
        </w:rPr>
        <w:t>市发展改革委做好专项资金项目（任务）储备和动态调整，按程序进行申报、审核、排序、清理等。</w:t>
      </w:r>
    </w:p>
    <w:p>
      <w:pPr>
        <w:overflowPunct w:val="0"/>
        <w:adjustRightInd/>
        <w:spacing w:before="0" w:beforeLines="0" w:after="0" w:afterLines="0" w:line="240" w:lineRule="auto"/>
        <w:ind w:firstLine="632" w:firstLineChars="200"/>
        <w:textAlignment w:val="auto"/>
        <w:rPr>
          <w:kern w:val="0"/>
        </w:rPr>
      </w:pPr>
      <w:r>
        <w:rPr>
          <w:rFonts w:eastAsia="方正黑体_GBK"/>
          <w:kern w:val="2"/>
        </w:rPr>
        <w:t>第十一条</w:t>
      </w:r>
      <w:r>
        <w:rPr>
          <w:rFonts w:hint="eastAsia" w:eastAsia="方正黑体_GBK"/>
          <w:kern w:val="2"/>
        </w:rPr>
        <w:t xml:space="preserve"> </w:t>
      </w:r>
      <w:r>
        <w:rPr>
          <w:kern w:val="2"/>
        </w:rPr>
        <w:t xml:space="preserve"> 根据年度确定的现代生</w:t>
      </w:r>
      <w:r>
        <w:rPr>
          <w:kern w:val="2"/>
        </w:rPr>
        <w:softHyphen/>
      </w:r>
      <w:r>
        <w:rPr>
          <w:kern w:val="2"/>
        </w:rPr>
        <w:t>产性服务业高质量发展工作重点和专项资金预算安排，由市发展改革委会同市财政局制定发布专项资金申报指南，细化明确资金支持方向、重要领域、申报条件、支持标准及方式、审核要点等内容。各区县发展改革部门联合本区县相关行业主管部门按属地原则组织开展项目（任务）申报、初审等，各市级主管部门根据工作需要做好主管领域集聚区申报、初审等。市发展改革委根据专项资金支持重点和项目（任务）要求，委托有关单位或组织专家进行评审。</w:t>
      </w:r>
    </w:p>
    <w:p>
      <w:pPr>
        <w:overflowPunct w:val="0"/>
        <w:adjustRightInd/>
        <w:spacing w:before="0" w:beforeLines="0" w:after="0" w:afterLines="0" w:line="240" w:lineRule="auto"/>
        <w:ind w:firstLine="632" w:firstLineChars="200"/>
        <w:textAlignment w:val="auto"/>
        <w:rPr>
          <w:kern w:val="0"/>
        </w:rPr>
      </w:pPr>
      <w:r>
        <w:rPr>
          <w:rFonts w:eastAsia="方正黑体_GBK"/>
          <w:kern w:val="2"/>
        </w:rPr>
        <w:t>第十二条</w:t>
      </w:r>
      <w:r>
        <w:rPr>
          <w:rFonts w:hint="eastAsia" w:eastAsia="方正黑体_GBK"/>
          <w:kern w:val="2"/>
        </w:rPr>
        <w:t xml:space="preserve"> </w:t>
      </w:r>
      <w:r>
        <w:rPr>
          <w:kern w:val="2"/>
        </w:rPr>
        <w:t xml:space="preserve"> 市发展改革委根据评审结果，研究提出资金分配方案建议，报委主任办公会审议后，下达项目（任务）计划，并向市财政局函请资金拨付。</w:t>
      </w:r>
    </w:p>
    <w:p>
      <w:pPr>
        <w:overflowPunct w:val="0"/>
        <w:adjustRightInd/>
        <w:spacing w:before="0" w:beforeLines="0" w:after="0" w:afterLines="0" w:line="240" w:lineRule="auto"/>
        <w:ind w:firstLine="632" w:firstLineChars="200"/>
        <w:textAlignment w:val="auto"/>
        <w:rPr>
          <w:kern w:val="0"/>
        </w:rPr>
      </w:pPr>
      <w:r>
        <w:rPr>
          <w:rFonts w:eastAsia="方正黑体_GBK"/>
          <w:kern w:val="2"/>
        </w:rPr>
        <w:t>第十三条</w:t>
      </w:r>
      <w:r>
        <w:rPr>
          <w:rFonts w:hint="eastAsia" w:eastAsia="方正黑体_GBK"/>
          <w:kern w:val="2"/>
        </w:rPr>
        <w:t xml:space="preserve"> </w:t>
      </w:r>
      <w:r>
        <w:rPr>
          <w:kern w:val="2"/>
        </w:rPr>
        <w:t xml:space="preserve"> 市发展改革委按程序，在批复预算额度内向市财政局申请拨款，市财政局按规定审核后，按照国库集中支付管理要求拨付和下达资金。对</w:t>
      </w:r>
      <w:r>
        <w:rPr>
          <w:rFonts w:hint="eastAsia" w:ascii="方正仿宋_GBK" w:hAnsi="方正仿宋_GBK" w:cs="方正仿宋_GBK"/>
          <w:kern w:val="2"/>
        </w:rPr>
        <w:t>“</w:t>
      </w:r>
      <w:r>
        <w:rPr>
          <w:kern w:val="2"/>
        </w:rPr>
        <w:t>带帽下达</w:t>
      </w:r>
      <w:r>
        <w:rPr>
          <w:rFonts w:hint="eastAsia" w:ascii="方正仿宋_GBK" w:hAnsi="方正仿宋_GBK" w:cs="方正仿宋_GBK"/>
          <w:kern w:val="2"/>
        </w:rPr>
        <w:t>”</w:t>
      </w:r>
      <w:r>
        <w:rPr>
          <w:kern w:val="2"/>
        </w:rPr>
        <w:t>并由区县发展改革或财政部门负责拨付的项目，相关区县在收到市发展改革委项目计划文件和市财政局预算指标下达文件后，应在30个工作日内将资金拨付到项目实施单位，并将拨款证明文件等材料及时反馈市发展改革委。</w:t>
      </w:r>
    </w:p>
    <w:p>
      <w:pPr>
        <w:overflowPunct w:val="0"/>
        <w:adjustRightInd/>
        <w:spacing w:before="0" w:beforeLines="0" w:after="0" w:afterLines="0" w:line="240" w:lineRule="auto"/>
        <w:ind w:firstLine="632" w:firstLineChars="200"/>
        <w:textAlignment w:val="auto"/>
        <w:rPr>
          <w:kern w:val="0"/>
        </w:rPr>
      </w:pPr>
    </w:p>
    <w:p>
      <w:pPr>
        <w:overflowPunct w:val="0"/>
        <w:adjustRightInd/>
        <w:spacing w:before="0" w:beforeLines="0" w:after="0" w:afterLines="0" w:line="240" w:lineRule="auto"/>
        <w:ind w:firstLine="0" w:firstLineChars="0"/>
        <w:jc w:val="center"/>
        <w:textAlignment w:val="auto"/>
        <w:rPr>
          <w:rFonts w:eastAsia="方正黑体_GBK"/>
          <w:kern w:val="0"/>
        </w:rPr>
      </w:pPr>
      <w:r>
        <w:rPr>
          <w:rFonts w:eastAsia="方正黑体_GBK"/>
          <w:kern w:val="2"/>
        </w:rPr>
        <w:t>第五章  资金监督管理</w:t>
      </w:r>
    </w:p>
    <w:p>
      <w:pPr>
        <w:overflowPunct w:val="0"/>
        <w:adjustRightInd/>
        <w:spacing w:before="0" w:beforeLines="0" w:after="0" w:afterLines="0" w:line="240" w:lineRule="auto"/>
        <w:ind w:firstLine="632" w:firstLineChars="200"/>
        <w:textAlignment w:val="auto"/>
        <w:rPr>
          <w:kern w:val="0"/>
        </w:rPr>
      </w:pPr>
      <w:r>
        <w:rPr>
          <w:rFonts w:eastAsia="方正黑体_GBK"/>
          <w:kern w:val="2"/>
        </w:rPr>
        <w:t>第十四条</w:t>
      </w:r>
      <w:r>
        <w:rPr>
          <w:rFonts w:hint="eastAsia" w:eastAsia="方正黑体_GBK"/>
          <w:kern w:val="2"/>
        </w:rPr>
        <w:t xml:space="preserve"> </w:t>
      </w:r>
      <w:r>
        <w:rPr>
          <w:rFonts w:eastAsia="方正黑体_GBK"/>
          <w:kern w:val="2"/>
        </w:rPr>
        <w:t xml:space="preserve"> </w:t>
      </w:r>
      <w:r>
        <w:rPr>
          <w:kern w:val="2"/>
        </w:rPr>
        <w:t>受支持主体收到专项资金后，严格按照资金管理以及财务管理有关规定使用资金，做好专项资金会计核算工作，确保专款专用，不得挤占、挪用，不得任意改变资金用途和扩大使用范围，不得虚假列支，不得任意变更预算支出科目，不得有其他违规行为。项目</w:t>
      </w:r>
      <w:r>
        <w:rPr>
          <w:rFonts w:hint="eastAsia"/>
          <w:kern w:val="2"/>
        </w:rPr>
        <w:t>（任务）</w:t>
      </w:r>
      <w:r>
        <w:rPr>
          <w:kern w:val="2"/>
        </w:rPr>
        <w:t>因故终止、撤销或确需变更的，项目</w:t>
      </w:r>
      <w:r>
        <w:rPr>
          <w:rFonts w:hint="eastAsia"/>
          <w:kern w:val="2"/>
        </w:rPr>
        <w:t>（任务）</w:t>
      </w:r>
      <w:r>
        <w:rPr>
          <w:kern w:val="2"/>
        </w:rPr>
        <w:t>申报单位应按程序报请市发展改革委同意，市区两级财政部门按规定收回或调整资金预算。</w:t>
      </w:r>
    </w:p>
    <w:p>
      <w:pPr>
        <w:overflowPunct w:val="0"/>
        <w:adjustRightInd/>
        <w:spacing w:before="0" w:beforeLines="0" w:after="0" w:afterLines="0" w:line="240" w:lineRule="auto"/>
        <w:ind w:firstLine="632" w:firstLineChars="200"/>
        <w:textAlignment w:val="auto"/>
        <w:rPr>
          <w:kern w:val="0"/>
        </w:rPr>
      </w:pPr>
      <w:r>
        <w:rPr>
          <w:rFonts w:eastAsia="方正黑体_GBK"/>
          <w:kern w:val="2"/>
        </w:rPr>
        <w:t>第十五条</w:t>
      </w:r>
      <w:r>
        <w:rPr>
          <w:rFonts w:hint="eastAsia" w:eastAsia="方正黑体_GBK"/>
          <w:kern w:val="2"/>
        </w:rPr>
        <w:t xml:space="preserve"> </w:t>
      </w:r>
      <w:r>
        <w:rPr>
          <w:rFonts w:eastAsia="方正黑体_GBK"/>
          <w:kern w:val="2"/>
        </w:rPr>
        <w:t xml:space="preserve"> </w:t>
      </w:r>
      <w:r>
        <w:rPr>
          <w:kern w:val="2"/>
        </w:rPr>
        <w:t>专项资金接受人大、纪检监察、审计、财政等部门监督检查。有关部门和项目单位应加强项目和资金管理，自觉接受监督检查。</w:t>
      </w:r>
    </w:p>
    <w:p>
      <w:pPr>
        <w:overflowPunct w:val="0"/>
        <w:adjustRightInd/>
        <w:spacing w:before="0" w:beforeLines="0" w:after="0" w:afterLines="0" w:line="240" w:lineRule="auto"/>
        <w:ind w:firstLine="632" w:firstLineChars="200"/>
        <w:textAlignment w:val="auto"/>
        <w:rPr>
          <w:kern w:val="0"/>
        </w:rPr>
      </w:pPr>
      <w:r>
        <w:rPr>
          <w:rFonts w:eastAsia="方正黑体_GBK"/>
          <w:kern w:val="2"/>
        </w:rPr>
        <w:t>第十六条</w:t>
      </w:r>
      <w:r>
        <w:rPr>
          <w:rFonts w:hint="eastAsia" w:eastAsia="方正黑体_GBK"/>
          <w:kern w:val="2"/>
        </w:rPr>
        <w:t xml:space="preserve"> </w:t>
      </w:r>
      <w:r>
        <w:rPr>
          <w:rFonts w:eastAsia="方正黑体_GBK"/>
          <w:kern w:val="2"/>
        </w:rPr>
        <w:t xml:space="preserve"> </w:t>
      </w:r>
      <w:r>
        <w:rPr>
          <w:kern w:val="2"/>
        </w:rPr>
        <w:t>专项资金申报、评审、分配、拨付、使用等过程中存在虚报、冒领、截留、挪用、滥用职权、玩忽职守、徇私舞弊等违法违纪行为的，严格按照《中华人民共和国预算法》《中华人民共和国公务员法》《中华人民共和国监察法》《财政违法行为处罚处分条例》等国家有关规定追究责任，涉嫌犯罪的，移送司法机关处理。</w:t>
      </w:r>
    </w:p>
    <w:p>
      <w:pPr>
        <w:overflowPunct w:val="0"/>
        <w:adjustRightInd/>
        <w:spacing w:before="0" w:beforeLines="0" w:after="0" w:afterLines="0" w:line="240" w:lineRule="auto"/>
        <w:ind w:firstLine="632" w:firstLineChars="200"/>
        <w:textAlignment w:val="auto"/>
        <w:rPr>
          <w:kern w:val="0"/>
        </w:rPr>
      </w:pPr>
      <w:r>
        <w:rPr>
          <w:rFonts w:eastAsia="方正黑体_GBK"/>
          <w:kern w:val="2"/>
        </w:rPr>
        <w:t>第十七条</w:t>
      </w:r>
      <w:r>
        <w:rPr>
          <w:rFonts w:hint="eastAsia" w:eastAsia="方正黑体_GBK"/>
          <w:kern w:val="2"/>
        </w:rPr>
        <w:t xml:space="preserve"> </w:t>
      </w:r>
      <w:r>
        <w:rPr>
          <w:rFonts w:eastAsia="方正黑体_GBK"/>
          <w:kern w:val="2"/>
        </w:rPr>
        <w:t xml:space="preserve"> </w:t>
      </w:r>
      <w:r>
        <w:rPr>
          <w:kern w:val="2"/>
        </w:rPr>
        <w:t>市发展改革委按照《中华人民共和国政府信息公开条例》等有关规定，将拟支持项目</w:t>
      </w:r>
      <w:r>
        <w:rPr>
          <w:rFonts w:hint="eastAsia"/>
          <w:kern w:val="2"/>
        </w:rPr>
        <w:t>（任务）</w:t>
      </w:r>
      <w:r>
        <w:rPr>
          <w:kern w:val="2"/>
        </w:rPr>
        <w:t>向社会公示，接受社会监督，经公示无异议的项目</w:t>
      </w:r>
      <w:r>
        <w:rPr>
          <w:rFonts w:hint="eastAsia"/>
          <w:kern w:val="2"/>
        </w:rPr>
        <w:t>（任务）</w:t>
      </w:r>
      <w:r>
        <w:rPr>
          <w:kern w:val="2"/>
        </w:rPr>
        <w:t>列入当年专项资金支持范围。</w:t>
      </w:r>
    </w:p>
    <w:p>
      <w:pPr>
        <w:overflowPunct w:val="0"/>
        <w:adjustRightInd/>
        <w:spacing w:before="0" w:beforeLines="0" w:after="0" w:afterLines="0" w:line="240" w:lineRule="auto"/>
        <w:ind w:firstLine="632" w:firstLineChars="200"/>
        <w:jc w:val="both"/>
        <w:textAlignment w:val="auto"/>
        <w:rPr>
          <w:kern w:val="0"/>
        </w:rPr>
      </w:pPr>
      <w:r>
        <w:rPr>
          <w:rFonts w:eastAsia="方正黑体_GBK"/>
          <w:kern w:val="2"/>
        </w:rPr>
        <w:t>第十八条</w:t>
      </w:r>
      <w:r>
        <w:rPr>
          <w:rFonts w:hint="eastAsia" w:eastAsia="方正黑体_GBK"/>
          <w:kern w:val="2"/>
        </w:rPr>
        <w:t xml:space="preserve">  </w:t>
      </w:r>
      <w:r>
        <w:rPr>
          <w:kern w:val="2"/>
        </w:rPr>
        <w:t>市发展改革委依法对项目单位开展信用管理。在项目</w:t>
      </w:r>
      <w:r>
        <w:rPr>
          <w:rFonts w:hint="eastAsia"/>
          <w:kern w:val="2"/>
        </w:rPr>
        <w:t>（任务）</w:t>
      </w:r>
      <w:r>
        <w:rPr>
          <w:kern w:val="2"/>
        </w:rPr>
        <w:t>申报阶段实行守信承诺和信用审查制，对被列入严重失信主体名单的经营主体，不予专项资金支持；依法依规记录项目单位在项目</w:t>
      </w:r>
      <w:r>
        <w:rPr>
          <w:rFonts w:hint="eastAsia"/>
          <w:kern w:val="2"/>
        </w:rPr>
        <w:t>（任务）</w:t>
      </w:r>
      <w:r>
        <w:rPr>
          <w:kern w:val="2"/>
        </w:rPr>
        <w:t>立项、实施、验收、评估等不同阶段的失信信息，并共享市公共信用信息服务平台，纳入相关经营主体信用记录。</w:t>
      </w:r>
    </w:p>
    <w:p>
      <w:pPr>
        <w:overflowPunct w:val="0"/>
        <w:adjustRightInd/>
        <w:spacing w:before="0" w:beforeLines="0" w:after="0" w:afterLines="0" w:line="240" w:lineRule="auto"/>
        <w:ind w:firstLine="632" w:firstLineChars="200"/>
        <w:textAlignment w:val="auto"/>
        <w:rPr>
          <w:kern w:val="0"/>
        </w:rPr>
      </w:pPr>
      <w:r>
        <w:rPr>
          <w:rFonts w:eastAsia="方正黑体_GBK"/>
          <w:kern w:val="2"/>
        </w:rPr>
        <w:t>第十九条</w:t>
      </w:r>
      <w:r>
        <w:rPr>
          <w:rFonts w:hint="eastAsia" w:eastAsia="方正黑体_GBK"/>
          <w:kern w:val="2"/>
        </w:rPr>
        <w:t xml:space="preserve"> </w:t>
      </w:r>
      <w:r>
        <w:rPr>
          <w:rFonts w:eastAsia="方正黑体_GBK"/>
          <w:kern w:val="2"/>
        </w:rPr>
        <w:t xml:space="preserve"> </w:t>
      </w:r>
      <w:r>
        <w:rPr>
          <w:kern w:val="2"/>
        </w:rPr>
        <w:t>年度预算执行完毕，市发展改革委组织开展绩效自评，自评结果按要求报市财政局。市财政局可委托第三方机构对专项资金或重点项目</w:t>
      </w:r>
      <w:r>
        <w:rPr>
          <w:rFonts w:hint="eastAsia"/>
          <w:kern w:val="2"/>
        </w:rPr>
        <w:t>（任务）</w:t>
      </w:r>
      <w:r>
        <w:rPr>
          <w:kern w:val="2"/>
        </w:rPr>
        <w:t>开展绩效评价，评价结果作为政策调整和预算安排的重要依据。</w:t>
      </w:r>
    </w:p>
    <w:p>
      <w:pPr>
        <w:overflowPunct w:val="0"/>
        <w:adjustRightInd/>
        <w:spacing w:before="0" w:beforeLines="0" w:after="0" w:afterLines="0" w:line="240" w:lineRule="auto"/>
        <w:ind w:firstLine="632" w:firstLineChars="200"/>
        <w:textAlignment w:val="auto"/>
        <w:rPr>
          <w:kern w:val="0"/>
        </w:rPr>
      </w:pPr>
    </w:p>
    <w:p>
      <w:pPr>
        <w:overflowPunct w:val="0"/>
        <w:adjustRightInd/>
        <w:spacing w:before="0" w:beforeLines="0" w:after="0" w:afterLines="0" w:line="240" w:lineRule="auto"/>
        <w:ind w:firstLine="0" w:firstLineChars="0"/>
        <w:jc w:val="center"/>
        <w:textAlignment w:val="auto"/>
        <w:rPr>
          <w:rFonts w:eastAsia="方正黑体_GBK"/>
          <w:kern w:val="0"/>
        </w:rPr>
      </w:pPr>
      <w:r>
        <w:rPr>
          <w:rFonts w:eastAsia="方正黑体_GBK"/>
          <w:kern w:val="2"/>
        </w:rPr>
        <w:t>第六章  附  则</w:t>
      </w:r>
    </w:p>
    <w:p>
      <w:pPr>
        <w:overflowPunct w:val="0"/>
        <w:adjustRightInd/>
        <w:spacing w:before="0" w:beforeLines="0" w:after="0" w:afterLines="0" w:line="240" w:lineRule="auto"/>
        <w:ind w:firstLine="632" w:firstLineChars="200"/>
        <w:textAlignment w:val="auto"/>
        <w:rPr>
          <w:kern w:val="0"/>
        </w:rPr>
      </w:pPr>
      <w:r>
        <w:rPr>
          <w:rFonts w:eastAsia="方正黑体_GBK"/>
          <w:kern w:val="2"/>
        </w:rPr>
        <w:t>第二十条</w:t>
      </w:r>
      <w:r>
        <w:rPr>
          <w:rFonts w:hint="eastAsia" w:eastAsia="方正黑体_GBK"/>
          <w:kern w:val="2"/>
        </w:rPr>
        <w:t xml:space="preserve"> </w:t>
      </w:r>
      <w:r>
        <w:rPr>
          <w:rFonts w:eastAsia="方正黑体_GBK"/>
          <w:kern w:val="2"/>
        </w:rPr>
        <w:t xml:space="preserve"> </w:t>
      </w:r>
      <w:r>
        <w:rPr>
          <w:kern w:val="2"/>
        </w:rPr>
        <w:t>本办法中</w:t>
      </w:r>
      <w:r>
        <w:rPr>
          <w:rFonts w:hint="eastAsia"/>
          <w:kern w:val="2"/>
        </w:rPr>
        <w:t>同一项目（任务）</w:t>
      </w:r>
      <w:r>
        <w:rPr>
          <w:kern w:val="2"/>
        </w:rPr>
        <w:t>同时符合</w:t>
      </w:r>
      <w:r>
        <w:rPr>
          <w:rFonts w:hint="eastAsia"/>
          <w:kern w:val="2"/>
        </w:rPr>
        <w:t>市级</w:t>
      </w:r>
      <w:r>
        <w:rPr>
          <w:kern w:val="2"/>
        </w:rPr>
        <w:t>其他专项支持政策的，按照</w:t>
      </w:r>
      <w:r>
        <w:rPr>
          <w:rFonts w:hint="eastAsia" w:ascii="方正仿宋_GBK" w:hAnsi="方正仿宋_GBK" w:cs="方正仿宋_GBK"/>
          <w:kern w:val="2"/>
        </w:rPr>
        <w:t>“</w:t>
      </w:r>
      <w:r>
        <w:rPr>
          <w:kern w:val="2"/>
        </w:rPr>
        <w:t>就高不重复</w:t>
      </w:r>
      <w:r>
        <w:rPr>
          <w:rFonts w:hint="eastAsia" w:ascii="方正仿宋_GBK" w:hAnsi="方正仿宋_GBK" w:cs="方正仿宋_GBK"/>
          <w:kern w:val="2"/>
        </w:rPr>
        <w:t>”</w:t>
      </w:r>
      <w:r>
        <w:rPr>
          <w:kern w:val="2"/>
        </w:rPr>
        <w:t>的原则奖励支持。</w:t>
      </w:r>
    </w:p>
    <w:p>
      <w:pPr>
        <w:overflowPunct w:val="0"/>
        <w:adjustRightInd/>
        <w:spacing w:after="0" w:line="240" w:lineRule="auto"/>
        <w:textAlignment w:val="auto"/>
        <w:rPr>
          <w:rFonts w:hint="eastAsia" w:ascii="方正仿宋_GBK" w:hAnsi="方正仿宋_GBK" w:cs="方正仿宋_GBK"/>
          <w:bCs/>
          <w:color w:val="auto"/>
          <w:lang w:val="en-US" w:eastAsia="zh-CN"/>
        </w:rPr>
      </w:pPr>
      <w:r>
        <w:rPr>
          <w:rFonts w:eastAsia="方正黑体_GBK"/>
          <w:kern w:val="2"/>
        </w:rPr>
        <w:t>第二十一条</w:t>
      </w:r>
      <w:r>
        <w:rPr>
          <w:rFonts w:hint="eastAsia" w:eastAsia="方正黑体_GBK"/>
          <w:kern w:val="2"/>
        </w:rPr>
        <w:t xml:space="preserve"> </w:t>
      </w:r>
      <w:r>
        <w:rPr>
          <w:rFonts w:eastAsia="方正黑体_GBK"/>
          <w:kern w:val="2"/>
        </w:rPr>
        <w:t xml:space="preserve"> </w:t>
      </w:r>
      <w:r>
        <w:rPr>
          <w:kern w:val="2"/>
        </w:rPr>
        <w:t>本办法自发布之日起施行，有效期至2027年12月31日。</w:t>
      </w:r>
    </w:p>
    <w:p>
      <w:pPr>
        <w:overflowPunct w:val="0"/>
        <w:adjustRightInd/>
        <w:spacing w:line="240" w:lineRule="auto"/>
        <w:textAlignment w:val="auto"/>
        <w:rPr>
          <w:rFonts w:hint="eastAsia" w:ascii="方正仿宋_GBK" w:hAnsi="方正仿宋_GBK" w:cs="方正仿宋_GBK"/>
          <w:bCs/>
          <w:color w:val="auto"/>
          <w:lang w:val="en-US" w:eastAsia="zh-CN"/>
        </w:rPr>
        <w:sectPr>
          <w:pgSz w:w="11906" w:h="16838"/>
          <w:pgMar w:top="2098" w:right="1531" w:bottom="1984" w:left="1531" w:header="851" w:footer="1417" w:gutter="0"/>
          <w:pgNumType w:fmt="numberInDash"/>
          <w:cols w:space="0" w:num="1"/>
          <w:rtlGutter w:val="0"/>
          <w:docGrid w:type="linesAndChars" w:linePitch="579" w:charSpace="-849"/>
        </w:sectPr>
      </w:pPr>
    </w:p>
    <w:p>
      <w:pPr>
        <w:overflowPunct w:val="0"/>
        <w:spacing w:beforeLines="0" w:afterLines="0"/>
        <w:ind w:left="0" w:leftChars="0"/>
        <w:outlineLvl w:val="9"/>
        <w:rPr>
          <w:rFonts w:hint="eastAsia" w:ascii="方正仿宋_GBK" w:hAnsi="方正仿宋_GBK" w:cs="方正仿宋_GBK"/>
          <w:color w:val="auto"/>
          <w:highlight w:val="none"/>
          <w:lang w:val="en-US" w:eastAsia="zh-CN"/>
        </w:rPr>
      </w:pPr>
    </w:p>
    <w:p>
      <w:pPr>
        <w:spacing w:beforeLines="0" w:afterLines="0"/>
        <w:rPr>
          <w:rFonts w:hint="eastAsia" w:ascii="方正仿宋_GBK" w:hAnsi="方正仿宋_GBK" w:cs="方正仿宋_GBK"/>
          <w:color w:val="auto"/>
        </w:rPr>
      </w:pPr>
    </w:p>
    <w:p>
      <w:pPr>
        <w:adjustRightInd/>
        <w:spacing w:beforeLines="0" w:afterLines="0" w:line="240" w:lineRule="auto"/>
        <w:rPr>
          <w:rFonts w:hint="eastAsia" w:ascii="方正仿宋_GBK" w:hAnsi="方正仿宋_GBK" w:cs="方正仿宋_GBK"/>
          <w:color w:val="auto"/>
        </w:rPr>
      </w:pPr>
    </w:p>
    <w:p>
      <w:pPr>
        <w:adjustRightInd/>
        <w:spacing w:beforeLines="0" w:afterLines="0" w:line="240" w:lineRule="auto"/>
        <w:rPr>
          <w:rFonts w:hint="eastAsia" w:ascii="方正仿宋_GBK" w:hAnsi="方正仿宋_GBK" w:cs="方正仿宋_GBK"/>
          <w:color w:val="auto"/>
        </w:rPr>
      </w:pPr>
    </w:p>
    <w:p>
      <w:pPr>
        <w:adjustRightInd/>
        <w:spacing w:beforeLines="0" w:afterLines="0" w:line="240" w:lineRule="auto"/>
        <w:rPr>
          <w:rFonts w:hint="eastAsia" w:ascii="方正仿宋_GBK" w:hAnsi="方正仿宋_GBK" w:cs="方正仿宋_GBK"/>
          <w:color w:val="auto"/>
        </w:rPr>
      </w:pPr>
    </w:p>
    <w:p>
      <w:pPr>
        <w:adjustRightInd/>
        <w:spacing w:beforeLines="0" w:afterLines="0" w:line="240" w:lineRule="auto"/>
        <w:rPr>
          <w:rFonts w:hint="eastAsia" w:ascii="方正仿宋_GBK" w:hAnsi="方正仿宋_GBK" w:cs="方正仿宋_GBK"/>
          <w:color w:val="auto"/>
        </w:rPr>
      </w:pPr>
    </w:p>
    <w:p>
      <w:pPr>
        <w:adjustRightInd/>
        <w:spacing w:beforeLines="0" w:afterLines="0" w:line="240" w:lineRule="auto"/>
        <w:rPr>
          <w:rFonts w:hint="eastAsia" w:ascii="方正仿宋_GBK" w:hAnsi="方正仿宋_GBK" w:cs="方正仿宋_GBK"/>
          <w:color w:val="auto"/>
        </w:rPr>
      </w:pPr>
    </w:p>
    <w:p>
      <w:pPr>
        <w:adjustRightInd/>
        <w:spacing w:beforeLines="0" w:afterLines="0" w:line="240" w:lineRule="auto"/>
        <w:rPr>
          <w:rFonts w:hint="eastAsia" w:ascii="方正仿宋_GBK" w:hAnsi="方正仿宋_GBK" w:cs="方正仿宋_GBK"/>
          <w:color w:val="auto"/>
        </w:rPr>
      </w:pPr>
    </w:p>
    <w:p>
      <w:pPr>
        <w:adjustRightInd/>
        <w:spacing w:beforeLines="0" w:afterLines="0" w:line="240" w:lineRule="auto"/>
        <w:rPr>
          <w:rFonts w:hint="eastAsia" w:ascii="方正仿宋_GBK" w:hAnsi="方正仿宋_GBK" w:cs="方正仿宋_GBK"/>
          <w:color w:val="auto"/>
        </w:rPr>
      </w:pPr>
    </w:p>
    <w:p>
      <w:pPr>
        <w:adjustRightInd/>
        <w:spacing w:beforeLines="0" w:afterLines="0" w:line="240" w:lineRule="auto"/>
        <w:rPr>
          <w:rFonts w:hint="eastAsia" w:ascii="方正仿宋_GBK" w:hAnsi="方正仿宋_GBK" w:cs="方正仿宋_GBK"/>
          <w:color w:val="auto"/>
        </w:rPr>
      </w:pPr>
    </w:p>
    <w:p>
      <w:pPr>
        <w:pStyle w:val="2"/>
        <w:spacing w:beforeLines="0" w:after="0" w:afterLines="0"/>
        <w:ind w:left="0" w:leftChars="0"/>
        <w:rPr>
          <w:rFonts w:hint="eastAsia" w:ascii="方正仿宋_GBK" w:hAnsi="方正仿宋_GBK" w:eastAsia="方正仿宋_GBK" w:cs="方正仿宋_GBK"/>
          <w:color w:val="auto"/>
          <w:sz w:val="32"/>
          <w:szCs w:val="32"/>
        </w:rPr>
      </w:pPr>
    </w:p>
    <w:p>
      <w:pPr>
        <w:adjustRightInd/>
        <w:spacing w:beforeLines="0" w:afterLines="0" w:line="240" w:lineRule="auto"/>
        <w:rPr>
          <w:rFonts w:hint="eastAsia" w:ascii="方正仿宋_GBK" w:hAnsi="方正仿宋_GBK" w:cs="方正仿宋_GBK"/>
          <w:color w:val="auto"/>
        </w:rPr>
      </w:pPr>
    </w:p>
    <w:p>
      <w:pPr>
        <w:pStyle w:val="2"/>
        <w:spacing w:beforeLines="0" w:after="0" w:afterLines="0"/>
        <w:ind w:left="0" w:leftChars="0"/>
        <w:rPr>
          <w:rFonts w:hint="eastAsia" w:ascii="方正仿宋_GBK" w:hAnsi="方正仿宋_GBK" w:eastAsia="方正仿宋_GBK" w:cs="方正仿宋_GBK"/>
          <w:sz w:val="32"/>
          <w:szCs w:val="32"/>
        </w:rPr>
      </w:pPr>
    </w:p>
    <w:p>
      <w:pPr>
        <w:pStyle w:val="2"/>
        <w:spacing w:beforeLines="0" w:after="0" w:afterLines="0"/>
        <w:ind w:left="0" w:leftChars="0"/>
        <w:rPr>
          <w:rFonts w:hint="eastAsia" w:ascii="方正仿宋_GBK" w:hAnsi="方正仿宋_GBK" w:eastAsia="方正仿宋_GBK" w:cs="方正仿宋_GBK"/>
          <w:sz w:val="32"/>
          <w:szCs w:val="32"/>
        </w:rPr>
      </w:pPr>
    </w:p>
    <w:p>
      <w:pPr>
        <w:pStyle w:val="2"/>
        <w:spacing w:beforeLines="0" w:after="0" w:afterLines="0"/>
        <w:ind w:left="0" w:leftChars="0"/>
        <w:rPr>
          <w:rFonts w:hint="eastAsia" w:ascii="方正仿宋_GBK" w:hAnsi="方正仿宋_GBK" w:eastAsia="方正仿宋_GBK" w:cs="方正仿宋_GBK"/>
          <w:sz w:val="32"/>
          <w:szCs w:val="32"/>
        </w:rPr>
      </w:pPr>
    </w:p>
    <w:p>
      <w:pPr>
        <w:pStyle w:val="2"/>
        <w:spacing w:beforeLines="0" w:after="0" w:afterLines="0"/>
        <w:ind w:left="0" w:leftChars="0"/>
        <w:rPr>
          <w:rFonts w:hint="eastAsia" w:ascii="方正仿宋_GBK" w:hAnsi="方正仿宋_GBK" w:eastAsia="方正仿宋_GBK" w:cs="方正仿宋_GBK"/>
          <w:sz w:val="32"/>
          <w:szCs w:val="32"/>
        </w:rPr>
      </w:pPr>
    </w:p>
    <w:p>
      <w:pPr>
        <w:pStyle w:val="2"/>
        <w:spacing w:beforeLines="0" w:after="0" w:afterLines="0"/>
        <w:ind w:left="0" w:leftChars="0"/>
        <w:rPr>
          <w:rFonts w:hint="eastAsia" w:ascii="方正仿宋_GBK" w:hAnsi="方正仿宋_GBK" w:eastAsia="方正仿宋_GBK" w:cs="方正仿宋_GBK"/>
          <w:sz w:val="32"/>
          <w:szCs w:val="32"/>
        </w:rPr>
      </w:pPr>
    </w:p>
    <w:p>
      <w:pPr>
        <w:pStyle w:val="2"/>
        <w:spacing w:beforeLines="0" w:after="0" w:afterLines="0"/>
        <w:ind w:left="0" w:leftChars="0"/>
        <w:rPr>
          <w:rFonts w:hint="eastAsia" w:ascii="方正仿宋_GBK" w:hAnsi="方正仿宋_GBK" w:eastAsia="方正仿宋_GBK" w:cs="方正仿宋_GBK"/>
          <w:sz w:val="32"/>
          <w:szCs w:val="32"/>
        </w:rPr>
      </w:pPr>
    </w:p>
    <w:p>
      <w:pPr>
        <w:pStyle w:val="2"/>
        <w:spacing w:beforeLines="0" w:after="0" w:afterLines="0"/>
        <w:ind w:left="0" w:leftChars="0"/>
        <w:rPr>
          <w:rFonts w:hint="eastAsia" w:ascii="方正仿宋_GBK" w:hAnsi="方正仿宋_GBK" w:eastAsia="方正仿宋_GBK" w:cs="方正仿宋_GBK"/>
          <w:sz w:val="32"/>
          <w:szCs w:val="32"/>
        </w:rPr>
      </w:pPr>
    </w:p>
    <w:p>
      <w:pPr>
        <w:pStyle w:val="2"/>
        <w:spacing w:beforeLines="0" w:after="0" w:afterLines="0"/>
        <w:ind w:left="0" w:leftChars="0"/>
        <w:rPr>
          <w:rFonts w:hint="eastAsia" w:ascii="方正仿宋_GBK" w:hAnsi="方正仿宋_GBK" w:eastAsia="方正仿宋_GBK" w:cs="方正仿宋_GBK"/>
          <w:sz w:val="32"/>
          <w:szCs w:val="32"/>
        </w:rPr>
      </w:pPr>
    </w:p>
    <w:p>
      <w:pPr>
        <w:wordWrap/>
        <w:overflowPunct/>
        <w:adjustRightInd/>
        <w:spacing w:line="240" w:lineRule="auto"/>
        <w:ind w:firstLine="0" w:firstLineChars="0"/>
        <w:jc w:val="left"/>
        <w:rPr>
          <w:rFonts w:hint="default" w:cs="Times New Roman"/>
          <w:color w:val="auto"/>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0</wp:posOffset>
                </wp:positionV>
                <wp:extent cx="5627370" cy="15240"/>
                <wp:effectExtent l="0" t="4445" r="11430" b="10795"/>
                <wp:wrapNone/>
                <wp:docPr id="6" name="直接连接符 6"/>
                <wp:cNvGraphicFramePr/>
                <a:graphic xmlns:a="http://schemas.openxmlformats.org/drawingml/2006/main">
                  <a:graphicData uri="http://schemas.microsoft.com/office/word/2010/wordprocessingShape">
                    <wps:wsp>
                      <wps:cNvCnPr/>
                      <wps:spPr>
                        <a:xfrm>
                          <a:off x="0" y="0"/>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05pt;margin-top:0pt;height:1.2pt;width:443.1pt;z-index:251663360;mso-width-relative:page;mso-height-relative:page;" filled="f" stroked="t" coordsize="21600,21600" o:gfxdata="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doMAfUAAAABAEAAA8A&#10;AAAAAAAAAQAgAAAAIgAAAGRycy9kb3ducmV2LnhtbFBLAQIUABQAAAAIAIdO4kDG8E0+4gEAAKwD&#10;AAAOAAAAAAAAAAEAIAAAACMBAABkcnMvZTJvRG9jLnhtbFBLBQYAAAAABgAGAFkBAAB3BQ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367665</wp:posOffset>
                </wp:positionV>
                <wp:extent cx="5627370" cy="15240"/>
                <wp:effectExtent l="0" t="4445" r="11430" b="10795"/>
                <wp:wrapNone/>
                <wp:docPr id="3" name="直接连接符 3"/>
                <wp:cNvGraphicFramePr/>
                <a:graphic xmlns:a="http://schemas.openxmlformats.org/drawingml/2006/main">
                  <a:graphicData uri="http://schemas.microsoft.com/office/word/2010/wordprocessingShape">
                    <wps:wsp>
                      <wps:cNvCnPr/>
                      <wps:spPr>
                        <a:xfrm>
                          <a:off x="972185" y="4633595"/>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28.95pt;height:1.2pt;width:443.1pt;z-index:251662336;mso-width-relative:page;mso-height-relative:page;" filled="f" stroked="t" coordsize="21600,21600" o:gfxdata="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CLxo9cAAAAGAQAADwAAAAAAAAABACAAAAAiAAAAZHJzL2Rvd25yZXYueG1sUEsBAhQAFAAA&#10;AAgAh07iQJEXeF7wAQAAtwMAAA4AAAAAAAAAAQAgAAAAJgEAAGRycy9lMm9Eb2MueG1sUEsFBgAA&#10;AAAGAAYAWQEAAIgFA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  重庆市发展和改革委员会办公室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2024年</w:t>
      </w:r>
      <w:r>
        <w:rPr>
          <w:rFonts w:hint="default" w:ascii="Times New Roman" w:hAnsi="Times New Roman" w:cs="Times New Roman"/>
          <w:sz w:val="28"/>
          <w:szCs w:val="28"/>
          <w:lang w:val="en-US" w:eastAsia="zh-CN"/>
        </w:rPr>
        <w:t>11</w:t>
      </w:r>
      <w:r>
        <w:rPr>
          <w:rFonts w:hint="default" w:ascii="Times New Roman" w:hAnsi="Times New Roman" w:eastAsia="方正仿宋_GBK" w:cs="Times New Roman"/>
          <w:sz w:val="28"/>
          <w:szCs w:val="28"/>
          <w:lang w:val="en-US" w:eastAsia="zh-CN"/>
        </w:rPr>
        <w:t>月</w:t>
      </w:r>
      <w:r>
        <w:rPr>
          <w:rFonts w:hint="default" w:ascii="Times New Roman" w:hAnsi="Times New Roman" w:cs="Times New Roman"/>
          <w:sz w:val="28"/>
          <w:szCs w:val="28"/>
          <w:lang w:val="en-US" w:eastAsia="zh-CN"/>
        </w:rPr>
        <w:t>19</w:t>
      </w:r>
      <w:r>
        <w:rPr>
          <w:rFonts w:hint="default" w:ascii="Times New Roman" w:hAnsi="Times New Roman" w:eastAsia="方正仿宋_GBK" w:cs="Times New Roman"/>
          <w:sz w:val="28"/>
          <w:szCs w:val="28"/>
          <w:lang w:val="en-US" w:eastAsia="zh-CN"/>
        </w:rPr>
        <w:t xml:space="preserve">日印发  </w:t>
      </w:r>
    </w:p>
    <w:sectPr>
      <w:pgSz w:w="11906" w:h="16838"/>
      <w:pgMar w:top="2098" w:right="1531" w:bottom="1984" w:left="1531" w:header="851" w:footer="1417" w:gutter="0"/>
      <w:pgNumType w:fmt="numberInDash"/>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pkFck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4ESxy0O/Pz92/nHr/PPr+R1&#10;lqcPUGPWY8C8NLz1Q06d/IDOzHpQ0eYv8iEYR3FPF3HlkIjIj1bL1arCkMDYfEEc9vQ8REgP0luS&#10;jYZGnF4RlR/fQxpT55Rczfl7bQz6eW3cXw7EzB6Wex97zFYadsPU+M63J+TT4+Ab6nDPKTHvHOqa&#10;d2Q24mzsZuMQot53ZYlyPQh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imQV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jc w:val="right"/>
      <w:rPr>
        <w:rFonts w:hint="eastAsia"/>
        <w:color w:val="FAFAFA"/>
        <w:sz w:val="28"/>
        <w:szCs w:val="28"/>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9"/>
      <w:ind w:firstLine="4498" w:firstLineChars="1600"/>
      <w:jc w:val="both"/>
    </w:pPr>
    <w:r>
      <w:rPr>
        <w:rFonts w:hint="eastAsia" w:ascii="宋体" w:hAnsi="宋体" w:eastAsia="宋体" w:cs="宋体"/>
        <w:b/>
        <w:bCs/>
        <w:color w:val="005192"/>
        <w:sz w:val="28"/>
        <w:szCs w:val="44"/>
      </w:rPr>
      <w:t xml:space="preserve">重庆市发展和改革委员会发布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jc w:val="both"/>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10"/>
      <w:adjustRightInd/>
      <w:jc w:val="both"/>
      <w:textAlignment w:val="center"/>
    </w:pPr>
    <w:r>
      <w:rPr>
        <w:rFonts w:hint="eastAsia" w:ascii="宋体" w:hAnsi="宋体" w:eastAsia="宋体" w:cs="宋体"/>
        <w:b/>
        <w:bCs/>
        <w:color w:val="005192"/>
        <w:sz w:val="32"/>
      </w:rPr>
      <w:drawing>
        <wp:inline distT="0" distB="0" distL="114300" distR="114300">
          <wp:extent cx="308610" cy="308610"/>
          <wp:effectExtent l="0" t="0" r="11430" b="11430"/>
          <wp:docPr id="2"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发展和改革委员会</w:t>
    </w:r>
    <w:r>
      <w:rPr>
        <w:rFonts w:hint="eastAsia" w:ascii="宋体" w:hAnsi="宋体" w:eastAsia="宋体" w:cs="宋体"/>
        <w:b/>
        <w:bCs/>
        <w:color w:val="005192"/>
        <w:sz w:val="32"/>
        <w:lang w:eastAsia="zh-Hans"/>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jI0Mzc2ZjIyZjY1YWY5MGM1NmE2ZGQxZTliNWMifQ=="/>
  </w:docVars>
  <w:rsids>
    <w:rsidRoot w:val="00172A27"/>
    <w:rsid w:val="006004F6"/>
    <w:rsid w:val="00FF28FF"/>
    <w:rsid w:val="01136F74"/>
    <w:rsid w:val="019E71BD"/>
    <w:rsid w:val="01C066B5"/>
    <w:rsid w:val="03D04E6B"/>
    <w:rsid w:val="041C42DA"/>
    <w:rsid w:val="04B679C3"/>
    <w:rsid w:val="05F07036"/>
    <w:rsid w:val="064E7294"/>
    <w:rsid w:val="06E00104"/>
    <w:rsid w:val="07AC7F00"/>
    <w:rsid w:val="080F63D8"/>
    <w:rsid w:val="09341458"/>
    <w:rsid w:val="098254C2"/>
    <w:rsid w:val="0A766EDE"/>
    <w:rsid w:val="0AD64BE8"/>
    <w:rsid w:val="0B0912D7"/>
    <w:rsid w:val="0B7C7A64"/>
    <w:rsid w:val="0D6E5E17"/>
    <w:rsid w:val="0DA472A8"/>
    <w:rsid w:val="0E025194"/>
    <w:rsid w:val="0E6D4BB0"/>
    <w:rsid w:val="152D2DCA"/>
    <w:rsid w:val="15D5325E"/>
    <w:rsid w:val="17130662"/>
    <w:rsid w:val="185E7C41"/>
    <w:rsid w:val="187168EA"/>
    <w:rsid w:val="196673CA"/>
    <w:rsid w:val="1B2F4AEE"/>
    <w:rsid w:val="1CF734C9"/>
    <w:rsid w:val="1D9C3275"/>
    <w:rsid w:val="1DEC284C"/>
    <w:rsid w:val="1E1D39B2"/>
    <w:rsid w:val="1E6523AC"/>
    <w:rsid w:val="213B01C6"/>
    <w:rsid w:val="22440422"/>
    <w:rsid w:val="22BB4BBB"/>
    <w:rsid w:val="22C27ADF"/>
    <w:rsid w:val="25C81124"/>
    <w:rsid w:val="25DE7970"/>
    <w:rsid w:val="2AD947D6"/>
    <w:rsid w:val="2AEB3417"/>
    <w:rsid w:val="2CC20647"/>
    <w:rsid w:val="2D502E74"/>
    <w:rsid w:val="2DCC28F7"/>
    <w:rsid w:val="2F541F27"/>
    <w:rsid w:val="31A15F24"/>
    <w:rsid w:val="324A1681"/>
    <w:rsid w:val="33497ED9"/>
    <w:rsid w:val="34F12209"/>
    <w:rsid w:val="34FD541C"/>
    <w:rsid w:val="36584736"/>
    <w:rsid w:val="36FB1DF0"/>
    <w:rsid w:val="38C06A86"/>
    <w:rsid w:val="395347B5"/>
    <w:rsid w:val="39A232A0"/>
    <w:rsid w:val="39E745AA"/>
    <w:rsid w:val="3B5A6BBB"/>
    <w:rsid w:val="3CE14061"/>
    <w:rsid w:val="3D437488"/>
    <w:rsid w:val="3D6A2620"/>
    <w:rsid w:val="3E2E249C"/>
    <w:rsid w:val="3EDA13A6"/>
    <w:rsid w:val="417B75E9"/>
    <w:rsid w:val="42F058B7"/>
    <w:rsid w:val="436109F6"/>
    <w:rsid w:val="441A38D4"/>
    <w:rsid w:val="4504239D"/>
    <w:rsid w:val="4641064B"/>
    <w:rsid w:val="465A1AD3"/>
    <w:rsid w:val="4AD86038"/>
    <w:rsid w:val="4BC77339"/>
    <w:rsid w:val="4BF22B1F"/>
    <w:rsid w:val="4C5C0629"/>
    <w:rsid w:val="4C9236C5"/>
    <w:rsid w:val="4E250A85"/>
    <w:rsid w:val="4E464D75"/>
    <w:rsid w:val="4E897B30"/>
    <w:rsid w:val="4F551E0D"/>
    <w:rsid w:val="4FFD4925"/>
    <w:rsid w:val="505C172E"/>
    <w:rsid w:val="506405EA"/>
    <w:rsid w:val="50977DB8"/>
    <w:rsid w:val="513D338D"/>
    <w:rsid w:val="52851315"/>
    <w:rsid w:val="52F46F0B"/>
    <w:rsid w:val="532B6A10"/>
    <w:rsid w:val="53D8014D"/>
    <w:rsid w:val="55003B4B"/>
    <w:rsid w:val="55B27C89"/>
    <w:rsid w:val="55E064E0"/>
    <w:rsid w:val="572C6D10"/>
    <w:rsid w:val="57732A03"/>
    <w:rsid w:val="579F129B"/>
    <w:rsid w:val="57D439E1"/>
    <w:rsid w:val="5A4061C0"/>
    <w:rsid w:val="5D7E310A"/>
    <w:rsid w:val="5DC34279"/>
    <w:rsid w:val="5E8A52F7"/>
    <w:rsid w:val="5FCD688E"/>
    <w:rsid w:val="5FF9BDAA"/>
    <w:rsid w:val="5FFE5333"/>
    <w:rsid w:val="608816D1"/>
    <w:rsid w:val="60EF4E7F"/>
    <w:rsid w:val="625E6C7A"/>
    <w:rsid w:val="64396CAA"/>
    <w:rsid w:val="646A6756"/>
    <w:rsid w:val="648B0A32"/>
    <w:rsid w:val="652548C2"/>
    <w:rsid w:val="665233C1"/>
    <w:rsid w:val="697D229E"/>
    <w:rsid w:val="69AC0D42"/>
    <w:rsid w:val="6A817394"/>
    <w:rsid w:val="6AD9688B"/>
    <w:rsid w:val="6BC66237"/>
    <w:rsid w:val="6D0E3F22"/>
    <w:rsid w:val="744E4660"/>
    <w:rsid w:val="74776C27"/>
    <w:rsid w:val="753355A2"/>
    <w:rsid w:val="759F1C61"/>
    <w:rsid w:val="769F2DE8"/>
    <w:rsid w:val="76FDEB7C"/>
    <w:rsid w:val="79B25E17"/>
    <w:rsid w:val="79C65162"/>
    <w:rsid w:val="7C9011D9"/>
    <w:rsid w:val="7CA72C41"/>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adjustRightInd/>
      <w:spacing w:after="160" w:line="240" w:lineRule="auto"/>
      <w:ind w:left="420" w:leftChars="200"/>
      <w:textAlignment w:val="auto"/>
    </w:pPr>
    <w:rPr>
      <w:rFonts w:eastAsia="宋体"/>
      <w:kern w:val="2"/>
      <w:sz w:val="21"/>
      <w:szCs w:val="24"/>
    </w:rPr>
  </w:style>
  <w:style w:type="paragraph" w:styleId="4">
    <w:name w:val="annotation text"/>
    <w:basedOn w:val="1"/>
    <w:qFormat/>
    <w:uiPriority w:val="0"/>
    <w:pPr>
      <w:jc w:val="left"/>
    </w:pPr>
  </w:style>
  <w:style w:type="paragraph" w:styleId="5">
    <w:name w:val="Body Text"/>
    <w:basedOn w:val="1"/>
    <w:next w:val="6"/>
    <w:qFormat/>
    <w:uiPriority w:val="0"/>
    <w:pPr>
      <w:spacing w:afterLines="0" w:afterAutospacing="0"/>
    </w:pPr>
  </w:style>
  <w:style w:type="paragraph" w:styleId="6">
    <w:name w:val="Body Text 2"/>
    <w:basedOn w:val="1"/>
    <w:qFormat/>
    <w:uiPriority w:val="0"/>
    <w:pPr>
      <w:adjustRightInd/>
      <w:spacing w:before="60" w:after="60" w:line="240" w:lineRule="auto"/>
      <w:textAlignment w:val="auto"/>
    </w:pPr>
    <w:rPr>
      <w:rFonts w:ascii="Arial" w:hAnsi="Arial" w:eastAsia="仿宋_GB2312"/>
      <w:spacing w:val="-5"/>
      <w:kern w:val="2"/>
      <w:lang w:val="zh-CN" w:eastAsia="en-US"/>
    </w:rPr>
  </w:style>
  <w:style w:type="paragraph" w:styleId="7">
    <w:name w:val="Body Text Indent"/>
    <w:basedOn w:val="1"/>
    <w:qFormat/>
    <w:uiPriority w:val="0"/>
    <w:pPr>
      <w:spacing w:after="120"/>
      <w:ind w:left="420" w:leftChars="200"/>
    </w:pPr>
  </w:style>
  <w:style w:type="paragraph" w:styleId="8">
    <w:name w:val="Balloon Text"/>
    <w:basedOn w:val="1"/>
    <w:link w:val="23"/>
    <w:qFormat/>
    <w:uiPriority w:val="0"/>
    <w:pPr>
      <w:spacing w:line="240" w:lineRule="auto"/>
    </w:pPr>
    <w:rPr>
      <w:sz w:val="18"/>
      <w:szCs w:val="18"/>
    </w:rPr>
  </w:style>
  <w:style w:type="paragraph" w:styleId="9">
    <w:name w:val="footer"/>
    <w:basedOn w:val="1"/>
    <w:next w:val="5"/>
    <w:qFormat/>
    <w:uiPriority w:val="0"/>
    <w:pPr>
      <w:tabs>
        <w:tab w:val="center" w:pos="4153"/>
        <w:tab w:val="right" w:pos="8306"/>
      </w:tabs>
      <w:snapToGrid w:val="0"/>
      <w:jc w:val="left"/>
    </w:pPr>
    <w:rPr>
      <w:sz w:val="18"/>
    </w:rPr>
  </w:style>
  <w:style w:type="paragraph" w:styleId="10">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qFormat/>
    <w:uiPriority w:val="0"/>
    <w:pPr>
      <w:ind w:firstLine="420" w:firstLineChars="100"/>
    </w:pPr>
  </w:style>
  <w:style w:type="paragraph" w:styleId="13">
    <w:name w:val="Body Text First Indent 2"/>
    <w:basedOn w:val="7"/>
    <w:next w:val="12"/>
    <w:qFormat/>
    <w:uiPriority w:val="0"/>
    <w:pPr>
      <w:ind w:firstLine="420" w:firstLineChars="200"/>
    </w:pPr>
  </w:style>
  <w:style w:type="character" w:styleId="16">
    <w:name w:val="Strong"/>
    <w:basedOn w:val="15"/>
    <w:qFormat/>
    <w:uiPriority w:val="0"/>
    <w:rPr>
      <w:b/>
      <w:bCs/>
    </w:rPr>
  </w:style>
  <w:style w:type="character" w:styleId="17">
    <w:name w:val="page number"/>
    <w:basedOn w:val="15"/>
    <w:qFormat/>
    <w:uiPriority w:val="0"/>
  </w:style>
  <w:style w:type="paragraph" w:customStyle="1" w:styleId="18">
    <w:name w:val="正文首缩两字 Char"/>
    <w:basedOn w:val="1"/>
    <w:qFormat/>
    <w:uiPriority w:val="99"/>
    <w:rPr>
      <w:rFonts w:ascii="Verdana" w:hAnsi="Verdana"/>
      <w:bCs/>
    </w:rPr>
  </w:style>
  <w:style w:type="paragraph" w:customStyle="1" w:styleId="19">
    <w:name w:val="方正仿宋"/>
    <w:basedOn w:val="1"/>
    <w:qFormat/>
    <w:uiPriority w:val="0"/>
    <w:pPr>
      <w:adjustRightInd/>
      <w:spacing w:line="240" w:lineRule="auto"/>
      <w:ind w:firstLine="620" w:firstLineChars="200"/>
    </w:pPr>
  </w:style>
  <w:style w:type="paragraph" w:customStyle="1" w:styleId="20">
    <w:name w:val="默认"/>
    <w:qFormat/>
    <w:uiPriority w:val="0"/>
    <w:pPr>
      <w:spacing w:after="160" w:line="259" w:lineRule="auto"/>
    </w:pPr>
    <w:rPr>
      <w:rFonts w:ascii="Helvetica" w:hAnsi="Helvetica" w:eastAsia="宋体" w:cs="Helvetica"/>
      <w:color w:val="000000"/>
      <w:sz w:val="22"/>
      <w:szCs w:val="22"/>
      <w:lang w:val="en-US" w:eastAsia="zh-CN" w:bidi="ar-SA"/>
    </w:rPr>
  </w:style>
  <w:style w:type="paragraph" w:customStyle="1" w:styleId="21">
    <w:name w:val="Body text|1"/>
    <w:basedOn w:val="1"/>
    <w:qFormat/>
    <w:uiPriority w:val="0"/>
    <w:pPr>
      <w:spacing w:line="410" w:lineRule="auto"/>
      <w:ind w:firstLine="400"/>
    </w:pPr>
    <w:rPr>
      <w:rFonts w:ascii="宋体" w:hAnsi="宋体" w:eastAsia="宋体" w:cs="宋体"/>
      <w:sz w:val="30"/>
      <w:szCs w:val="30"/>
      <w:lang w:val="zh-TW" w:eastAsia="zh-TW" w:bidi="zh-TW"/>
    </w:rPr>
  </w:style>
  <w:style w:type="paragraph" w:customStyle="1" w:styleId="22">
    <w:name w:val="p0"/>
    <w:basedOn w:val="1"/>
    <w:qFormat/>
    <w:uiPriority w:val="0"/>
    <w:pPr>
      <w:widowControl/>
    </w:pPr>
    <w:rPr>
      <w:rFonts w:ascii="Calibri" w:hAnsi="Calibri" w:eastAsia="宋体" w:cs="宋体"/>
      <w:kern w:val="0"/>
      <w:szCs w:val="32"/>
    </w:rPr>
  </w:style>
  <w:style w:type="character" w:customStyle="1" w:styleId="23">
    <w:name w:val="批注框文本 Char"/>
    <w:basedOn w:val="15"/>
    <w:link w:val="8"/>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627</Words>
  <Characters>3574</Characters>
  <Lines>29</Lines>
  <Paragraphs>8</Paragraphs>
  <TotalTime>5</TotalTime>
  <ScaleCrop>false</ScaleCrop>
  <LinksUpToDate>false</LinksUpToDate>
  <CharactersWithSpaces>4193</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王宗瑄</cp:lastModifiedBy>
  <cp:lastPrinted>2022-05-12T00:46:00Z</cp:lastPrinted>
  <dcterms:modified xsi:type="dcterms:W3CDTF">2024-11-20T08:57:06Z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6BE19E8457974F4290421672E26E2891</vt:lpwstr>
  </property>
</Properties>
</file>