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before="0" w:after="0" w:line="240" w:lineRule="auto"/>
        <w:rPr>
          <w:rFonts w:ascii="Times New Roman" w:hAnsi="Times New Roman" w:cs="方正仿宋_GBK"/>
          <w:bCs/>
          <w:color w:val="auto"/>
        </w:rPr>
      </w:pPr>
    </w:p>
    <w:p>
      <w:pPr>
        <w:overflowPunct w:val="0"/>
        <w:adjustRightInd/>
        <w:spacing w:before="0" w:after="0" w:line="240" w:lineRule="auto"/>
        <w:rPr>
          <w:rFonts w:ascii="Times New Roman" w:hAnsi="Times New Roman" w:cs="方正仿宋_GBK"/>
          <w:bCs/>
          <w:color w:val="auto"/>
        </w:rPr>
      </w:pPr>
    </w:p>
    <w:p>
      <w:pPr>
        <w:overflowPunct w:val="0"/>
        <w:adjustRightInd/>
        <w:spacing w:before="0" w:after="0" w:line="240" w:lineRule="auto"/>
        <w:rPr>
          <w:rFonts w:ascii="Times New Roman" w:hAnsi="Times New Roman" w:cs="方正仿宋_GBK"/>
          <w:bCs/>
          <w:color w:val="auto"/>
        </w:rPr>
      </w:pPr>
    </w:p>
    <w:p>
      <w:pPr>
        <w:overflowPunct w:val="0"/>
        <w:adjustRightInd/>
        <w:spacing w:before="0" w:after="0" w:line="240" w:lineRule="auto"/>
        <w:rPr>
          <w:rFonts w:hint="eastAsia" w:ascii="Times New Roman" w:hAnsi="Times New Roman" w:cs="方正仿宋_GBK"/>
          <w:bCs/>
          <w:color w:val="auto"/>
        </w:rPr>
      </w:pPr>
    </w:p>
    <w:p>
      <w:pPr>
        <w:overflowPunct w:val="0"/>
        <w:adjustRightInd/>
        <w:spacing w:before="0" w:after="0" w:line="240" w:lineRule="auto"/>
        <w:rPr>
          <w:rFonts w:hint="eastAsia" w:ascii="Times New Roman" w:hAnsi="Times New Roman" w:cs="方正仿宋_GBK"/>
          <w:bCs/>
          <w:color w:val="auto"/>
        </w:rPr>
      </w:pPr>
    </w:p>
    <w:p>
      <w:pPr>
        <w:overflowPunct w:val="0"/>
        <w:adjustRightInd/>
        <w:spacing w:before="0" w:after="0" w:line="240" w:lineRule="auto"/>
        <w:jc w:val="both"/>
        <w:rPr>
          <w:rFonts w:hint="eastAsia" w:ascii="Times New Roman" w:hAnsi="Times New Roman" w:eastAsia="方正仿宋_GBK" w:cs="方正仿宋_GBK"/>
          <w:color w:val="auto"/>
          <w:kern w:val="2"/>
        </w:rPr>
      </w:pPr>
    </w:p>
    <w:p>
      <w:pPr>
        <w:overflowPunct w:val="0"/>
        <w:adjustRightInd/>
        <w:spacing w:before="0" w:after="0" w:line="240" w:lineRule="auto"/>
        <w:jc w:val="both"/>
        <w:rPr>
          <w:rFonts w:hint="eastAsia" w:ascii="Times New Roman" w:hAnsi="Times New Roman" w:eastAsia="方正仿宋_GBK" w:cs="方正仿宋_GBK"/>
          <w:color w:val="auto"/>
          <w:kern w:val="2"/>
        </w:rPr>
      </w:pPr>
    </w:p>
    <w:p>
      <w:pPr>
        <w:overflowPunct w:val="0"/>
        <w:adjustRightInd/>
        <w:spacing w:before="0" w:after="0" w:line="240" w:lineRule="auto"/>
        <w:jc w:val="both"/>
        <w:rPr>
          <w:rFonts w:hint="eastAsia" w:ascii="Times New Roman" w:hAnsi="Times New Roman" w:eastAsia="方正仿宋_GBK" w:cs="方正仿宋_GBK"/>
          <w:color w:val="auto"/>
          <w:kern w:val="2"/>
        </w:rPr>
      </w:pPr>
    </w:p>
    <w:p>
      <w:pPr>
        <w:overflowPunct w:val="0"/>
        <w:adjustRightInd/>
        <w:spacing w:before="0" w:after="0" w:line="240" w:lineRule="auto"/>
        <w:jc w:val="center"/>
        <w:rPr>
          <w:rFonts w:hint="eastAsia" w:ascii="Times New Roman" w:hAnsi="Times New Roman" w:cs="方正仿宋_GBK"/>
          <w:bCs/>
          <w:color w:val="auto"/>
        </w:rPr>
      </w:pPr>
      <w:r>
        <w:rPr>
          <w:rFonts w:hint="eastAsia" w:ascii="Times New Roman" w:hAnsi="Times New Roman" w:eastAsia="方正仿宋_GBK" w:cs="方正仿宋_GBK"/>
          <w:color w:val="auto"/>
          <w:kern w:val="2"/>
        </w:rPr>
        <w:t>渝粮管〔2023〕42号</w:t>
      </w:r>
    </w:p>
    <w:p>
      <w:pPr>
        <w:overflowPunct w:val="0"/>
        <w:adjustRightInd/>
        <w:spacing w:before="0" w:after="0" w:line="240" w:lineRule="auto"/>
        <w:jc w:val="both"/>
        <w:rPr>
          <w:rFonts w:ascii="Times New Roman" w:hAnsi="Times New Roman"/>
          <w:bCs/>
          <w:color w:val="auto"/>
        </w:rPr>
      </w:pPr>
    </w:p>
    <w:p>
      <w:pPr>
        <w:overflowPunct w:val="0"/>
        <w:adjustRightInd/>
        <w:spacing w:before="0" w:after="0" w:line="240" w:lineRule="auto"/>
        <w:jc w:val="both"/>
        <w:rPr>
          <w:rFonts w:ascii="Times New Roman" w:hAnsi="Times New Roman"/>
          <w:bCs/>
          <w:color w:val="auto"/>
        </w:rPr>
      </w:pPr>
    </w:p>
    <w:p>
      <w:pPr>
        <w:keepNext w:val="0"/>
        <w:keepLines w:val="0"/>
        <w:pageBreakBefore w:val="0"/>
        <w:kinsoku/>
        <w:wordWrap/>
        <w:overflowPunct w:val="0"/>
        <w:topLinePunct w:val="0"/>
        <w:autoSpaceDE/>
        <w:autoSpaceDN/>
        <w:bidi w:val="0"/>
        <w:adjustRightInd/>
        <w:snapToGrid/>
        <w:spacing w:before="0" w:after="0" w:line="580" w:lineRule="exact"/>
        <w:ind w:left="0" w:leftChars="0" w:right="0" w:rightChars="0"/>
        <w:jc w:val="center"/>
        <w:textAlignment w:val="auto"/>
        <w:outlineLvl w:val="9"/>
        <w:rPr>
          <w:rFonts w:ascii="Times New Roman" w:hAnsi="Times New Roman" w:eastAsia="方正小标宋_GBK"/>
          <w:color w:val="auto"/>
          <w:kern w:val="2"/>
          <w:sz w:val="44"/>
          <w:szCs w:val="44"/>
        </w:rPr>
      </w:pPr>
      <w:bookmarkStart w:id="0" w:name="_GoBack"/>
      <w:r>
        <w:rPr>
          <w:rFonts w:ascii="Times New Roman" w:hAnsi="Times New Roman" w:eastAsia="方正小标宋_GBK"/>
          <w:color w:val="auto"/>
          <w:kern w:val="2"/>
          <w:sz w:val="44"/>
          <w:szCs w:val="44"/>
        </w:rPr>
        <w:t>重庆市粮食局 重庆市财政局</w:t>
      </w:r>
    </w:p>
    <w:p>
      <w:pPr>
        <w:keepNext w:val="0"/>
        <w:keepLines w:val="0"/>
        <w:pageBreakBefore w:val="0"/>
        <w:kinsoku/>
        <w:wordWrap/>
        <w:overflowPunct w:val="0"/>
        <w:topLinePunct w:val="0"/>
        <w:autoSpaceDE/>
        <w:autoSpaceDN/>
        <w:bidi w:val="0"/>
        <w:adjustRightInd/>
        <w:snapToGrid/>
        <w:spacing w:before="0" w:after="0" w:line="580" w:lineRule="exact"/>
        <w:ind w:left="0" w:leftChars="0" w:right="0" w:rightChars="0"/>
        <w:jc w:val="center"/>
        <w:textAlignment w:val="auto"/>
        <w:outlineLvl w:val="9"/>
        <w:rPr>
          <w:rFonts w:ascii="Times New Roman" w:hAnsi="Times New Roman" w:eastAsia="方正小标宋_GBK"/>
          <w:color w:val="auto"/>
          <w:kern w:val="2"/>
          <w:sz w:val="44"/>
          <w:szCs w:val="44"/>
        </w:rPr>
      </w:pPr>
      <w:r>
        <w:rPr>
          <w:rFonts w:ascii="Times New Roman" w:hAnsi="Times New Roman" w:eastAsia="方正小标宋_GBK"/>
          <w:color w:val="auto"/>
          <w:kern w:val="2"/>
          <w:sz w:val="44"/>
          <w:szCs w:val="44"/>
        </w:rPr>
        <w:t>关于申报2023年度优质粮食工程项目的通知</w:t>
      </w:r>
      <w:bookmarkEnd w:id="0"/>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textAlignment w:val="auto"/>
        <w:outlineLvl w:val="9"/>
        <w:rPr>
          <w:rFonts w:ascii="Times New Roman" w:hAnsi="Times New Roman" w:eastAsia="方正小标宋简体"/>
          <w:color w:val="auto"/>
          <w:kern w:val="2"/>
          <w:sz w:val="44"/>
          <w:szCs w:val="44"/>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ascii="Times New Roman" w:hAnsi="Times New Roman"/>
          <w:color w:val="auto"/>
          <w:kern w:val="2"/>
          <w:lang w:bidi="ar"/>
        </w:rPr>
      </w:pPr>
      <w:r>
        <w:rPr>
          <w:rFonts w:ascii="Times New Roman" w:hAnsi="Times New Roman"/>
          <w:color w:val="auto"/>
          <w:kern w:val="2"/>
          <w:lang w:bidi="ar"/>
        </w:rPr>
        <w:t>各区县（自治县）发展改革委、财政局，两江新区经济运行局、财政局，重庆高新区改革发展局、财政局，万盛经开区发展改革局、财政局，有关单位：</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bidi="ar"/>
        </w:rPr>
      </w:pPr>
      <w:r>
        <w:rPr>
          <w:rFonts w:hint="eastAsia" w:ascii="Times New Roman" w:hAnsi="Times New Roman" w:cs="方正仿宋_GBK"/>
          <w:color w:val="auto"/>
          <w:kern w:val="2"/>
          <w:lang w:bidi="ar"/>
        </w:rPr>
        <w:t>根据《财政部</w:t>
      </w:r>
      <w:r>
        <w:rPr>
          <w:rFonts w:hint="eastAsia" w:ascii="Times New Roman" w:hAnsi="Times New Roman" w:cs="方正仿宋_GBK"/>
          <w:color w:val="auto"/>
          <w:kern w:val="2"/>
          <w:lang w:eastAsia="zh-CN" w:bidi="ar"/>
        </w:rPr>
        <w:t xml:space="preserve"> </w:t>
      </w:r>
      <w:r>
        <w:rPr>
          <w:rFonts w:hint="eastAsia" w:ascii="Times New Roman" w:hAnsi="Times New Roman" w:cs="方正仿宋_GBK"/>
          <w:color w:val="auto"/>
          <w:kern w:val="2"/>
          <w:lang w:bidi="ar"/>
        </w:rPr>
        <w:t>国家粮食和物资储备局关于深入推进优质粮食工程的意见》（财建〔2021〕177号）精神，结合《国家粮食和物资储备局关于印发优质粮食工程“六大提升行动”方案的通知》（国粮规〔2021〕236号）和《重庆市粮食局</w:t>
      </w:r>
      <w:r>
        <w:rPr>
          <w:rFonts w:hint="eastAsia" w:ascii="Times New Roman" w:hAnsi="Times New Roman" w:cs="方正仿宋_GBK"/>
          <w:color w:val="auto"/>
          <w:kern w:val="2"/>
          <w:lang w:eastAsia="zh-CN" w:bidi="ar"/>
        </w:rPr>
        <w:t xml:space="preserve"> </w:t>
      </w:r>
      <w:r>
        <w:rPr>
          <w:rFonts w:hint="eastAsia" w:ascii="Times New Roman" w:hAnsi="Times New Roman" w:cs="方正仿宋_GBK"/>
          <w:color w:val="auto"/>
          <w:kern w:val="2"/>
          <w:lang w:bidi="ar"/>
        </w:rPr>
        <w:t>重庆市财政局关于印发重庆市深入推进优质粮食工程实施方案的通知》（渝粮规范〔2022〕4号）要求，为充分发挥财政资金的引导作用，不断推动粮食全产业链升级，推动粮食产业高质量发展，现就2023年度优质粮食工程项目申报有关事项通知如下。</w:t>
      </w:r>
    </w:p>
    <w:p>
      <w:pPr>
        <w:keepNext w:val="0"/>
        <w:keepLines w:val="0"/>
        <w:pageBreakBefore w:val="0"/>
        <w:numPr>
          <w:ilvl w:val="12"/>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一、申报时间</w:t>
      </w:r>
    </w:p>
    <w:p>
      <w:pPr>
        <w:keepNext w:val="0"/>
        <w:keepLines w:val="0"/>
        <w:pageBreakBefore w:val="0"/>
        <w:numPr>
          <w:ilvl w:val="12"/>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bidi="ar"/>
        </w:rPr>
      </w:pPr>
      <w:r>
        <w:rPr>
          <w:rFonts w:hint="eastAsia" w:ascii="Times New Roman" w:hAnsi="Times New Roman" w:cs="方正仿宋_GBK"/>
          <w:color w:val="auto"/>
          <w:kern w:val="2"/>
          <w:lang w:bidi="ar"/>
        </w:rPr>
        <w:t>2022年3月2</w:t>
      </w:r>
      <w:r>
        <w:rPr>
          <w:rFonts w:hint="eastAsia" w:ascii="Times New Roman" w:hAnsi="Times New Roman" w:cs="方正仿宋_GBK"/>
          <w:color w:val="auto"/>
          <w:kern w:val="2"/>
          <w:lang w:eastAsia="zh-CN" w:bidi="ar"/>
        </w:rPr>
        <w:t>9</w:t>
      </w:r>
      <w:r>
        <w:rPr>
          <w:rFonts w:hint="eastAsia" w:ascii="Times New Roman" w:hAnsi="Times New Roman" w:cs="方正仿宋_GBK"/>
          <w:color w:val="auto"/>
          <w:kern w:val="2"/>
          <w:lang w:bidi="ar"/>
        </w:rPr>
        <w:t>日至4月2</w:t>
      </w:r>
      <w:r>
        <w:rPr>
          <w:rFonts w:hint="eastAsia" w:ascii="Times New Roman" w:hAnsi="Times New Roman" w:cs="方正仿宋_GBK"/>
          <w:color w:val="auto"/>
          <w:kern w:val="2"/>
          <w:lang w:eastAsia="zh-CN" w:bidi="ar"/>
        </w:rPr>
        <w:t>9</w:t>
      </w:r>
      <w:r>
        <w:rPr>
          <w:rFonts w:hint="eastAsia" w:ascii="Times New Roman" w:hAnsi="Times New Roman" w:cs="方正仿宋_GBK"/>
          <w:color w:val="auto"/>
          <w:kern w:val="2"/>
          <w:lang w:bidi="ar"/>
        </w:rPr>
        <w:t>日</w:t>
      </w:r>
    </w:p>
    <w:p>
      <w:pPr>
        <w:keepNext w:val="0"/>
        <w:keepLines w:val="0"/>
        <w:pageBreakBefore w:val="0"/>
        <w:numPr>
          <w:ilvl w:val="12"/>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二、申报条件</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lang w:bidi="ar"/>
        </w:rPr>
        <w:t>（一）具有独立法人资格，法人治理结构完善，经营状况良好，无违法经营记录且近三年内未受行政处罚。</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lang w:bidi="ar"/>
        </w:rPr>
        <w:t>（二）财务管理制度健全，财务状况及会计信用、纳税信用和银行信用良好，未被列入失信联合惩戒对象名单。</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lang w:bidi="ar"/>
        </w:rPr>
        <w:t>（三）</w:t>
      </w:r>
      <w:r>
        <w:rPr>
          <w:rFonts w:hint="eastAsia" w:ascii="Times New Roman" w:hAnsi="Times New Roman" w:cs="方正仿宋_GBK"/>
          <w:color w:val="auto"/>
          <w:kern w:val="2"/>
        </w:rPr>
        <w:t>近3年内未发生过储存安全事故、安全生产事故和食品安全事故。</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lang w:bidi="ar"/>
        </w:rPr>
        <w:t>（四）未出现克扣种粮农民资金、损害农民利益及其他违法违规行为。</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bidi="ar"/>
        </w:rPr>
      </w:pPr>
      <w:r>
        <w:rPr>
          <w:rFonts w:hint="eastAsia" w:ascii="Times New Roman" w:hAnsi="Times New Roman" w:cs="方正仿宋_GBK"/>
          <w:color w:val="auto"/>
          <w:kern w:val="2"/>
        </w:rPr>
        <w:t>（五）</w:t>
      </w:r>
      <w:r>
        <w:rPr>
          <w:rFonts w:hint="eastAsia" w:ascii="Times New Roman" w:hAnsi="Times New Roman" w:cs="方正仿宋_GBK"/>
          <w:color w:val="auto"/>
          <w:kern w:val="2"/>
          <w:lang w:bidi="ar"/>
        </w:rPr>
        <w:t>非新成立的粮食仓储和加工企业须纳入国家粮油统计信息系统，并连续报送报表3个月以上。</w:t>
      </w:r>
    </w:p>
    <w:p>
      <w:pPr>
        <w:keepNext w:val="0"/>
        <w:keepLines w:val="0"/>
        <w:pageBreakBefore w:val="0"/>
        <w:numPr>
          <w:ilvl w:val="12"/>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三、申报主体具体要求</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right="0" w:rightChars="0" w:firstLine="632" w:firstLineChars="200"/>
        <w:textAlignment w:val="auto"/>
        <w:outlineLvl w:val="9"/>
        <w:rPr>
          <w:rFonts w:hint="eastAsia" w:ascii="Times New Roman" w:hAnsi="Times New Roman" w:eastAsia="方正楷体_GBK" w:cs="方正楷体_GBK"/>
          <w:color w:val="auto"/>
          <w:kern w:val="2"/>
          <w:lang w:bidi="ar"/>
        </w:rPr>
      </w:pPr>
      <w:r>
        <w:rPr>
          <w:rFonts w:hint="eastAsia" w:ascii="Times New Roman" w:hAnsi="Times New Roman" w:eastAsia="方正楷体_GBK" w:cs="方正楷体_GBK"/>
          <w:color w:val="auto"/>
          <w:kern w:val="2"/>
          <w:lang w:bidi="ar"/>
        </w:rPr>
        <w:t>（一）粮食绿色仓储提升行动项目</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right="0" w:rightChars="0" w:firstLine="632" w:firstLineChars="200"/>
        <w:textAlignment w:val="auto"/>
        <w:outlineLvl w:val="9"/>
        <w:rPr>
          <w:rFonts w:hint="eastAsia" w:ascii="Times New Roman" w:hAnsi="Times New Roman" w:cs="方正仿宋_GBK"/>
          <w:color w:val="auto"/>
          <w:kern w:val="2"/>
          <w:lang w:bidi="ar"/>
        </w:rPr>
      </w:pPr>
      <w:r>
        <w:rPr>
          <w:rFonts w:hint="eastAsia" w:ascii="Times New Roman" w:hAnsi="Times New Roman" w:cs="方正仿宋_GBK"/>
          <w:color w:val="auto"/>
          <w:kern w:val="2"/>
          <w:lang w:bidi="ar"/>
        </w:rPr>
        <w:t>各级政府储备粮油（含成品粮油）承储企业、社会责任储备企业等相关企业。</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right="0" w:rightChars="0" w:firstLine="632" w:firstLineChars="200"/>
        <w:textAlignment w:val="auto"/>
        <w:outlineLvl w:val="9"/>
        <w:rPr>
          <w:rFonts w:hint="eastAsia" w:ascii="Times New Roman" w:hAnsi="Times New Roman" w:eastAsia="方正楷体_GBK" w:cs="方正楷体_GBK"/>
          <w:color w:val="auto"/>
          <w:kern w:val="2"/>
          <w:lang w:bidi="ar"/>
        </w:rPr>
      </w:pPr>
      <w:r>
        <w:rPr>
          <w:rFonts w:hint="eastAsia" w:ascii="Times New Roman" w:hAnsi="Times New Roman" w:eastAsia="方正楷体_GBK" w:cs="方正楷体_GBK"/>
          <w:color w:val="auto"/>
          <w:kern w:val="2"/>
          <w:lang w:bidi="ar"/>
        </w:rPr>
        <w:t>（二）粮食品种品质品牌提升行动项目</w:t>
      </w:r>
    </w:p>
    <w:p>
      <w:pPr>
        <w:keepNext w:val="0"/>
        <w:keepLines w:val="0"/>
        <w:pageBreakBefore w:val="0"/>
        <w:numPr>
          <w:ilvl w:val="12"/>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bidi="ar"/>
        </w:rPr>
      </w:pPr>
      <w:r>
        <w:rPr>
          <w:rFonts w:hint="eastAsia" w:ascii="Times New Roman" w:hAnsi="Times New Roman" w:cs="方正仿宋_GBK"/>
          <w:color w:val="auto"/>
          <w:kern w:val="2"/>
          <w:lang w:bidi="ar"/>
        </w:rPr>
        <w:t>具有一定规模的粮油加工企业、涉粮农民专业合作社、农业产业化联合体等市场主体。</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right="0" w:rightChars="0" w:firstLine="632" w:firstLineChars="200"/>
        <w:textAlignment w:val="auto"/>
        <w:outlineLvl w:val="9"/>
        <w:rPr>
          <w:rFonts w:hint="eastAsia" w:ascii="Times New Roman" w:hAnsi="Times New Roman" w:eastAsia="方正楷体_GBK" w:cs="方正楷体_GBK"/>
          <w:color w:val="auto"/>
          <w:kern w:val="2"/>
          <w:lang w:bidi="ar"/>
        </w:rPr>
      </w:pPr>
      <w:r>
        <w:rPr>
          <w:rFonts w:hint="eastAsia" w:ascii="Times New Roman" w:hAnsi="Times New Roman" w:eastAsia="方正楷体_GBK" w:cs="方正楷体_GBK"/>
          <w:color w:val="auto"/>
          <w:kern w:val="2"/>
          <w:lang w:bidi="ar"/>
        </w:rPr>
        <w:t>（三）粮食质量追溯提升行动项目</w:t>
      </w:r>
    </w:p>
    <w:p>
      <w:pPr>
        <w:keepNext w:val="0"/>
        <w:keepLines w:val="0"/>
        <w:pageBreakBefore w:val="0"/>
        <w:numPr>
          <w:ilvl w:val="12"/>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bidi="ar"/>
        </w:rPr>
      </w:pPr>
      <w:r>
        <w:rPr>
          <w:rFonts w:hint="eastAsia" w:ascii="Times New Roman" w:hAnsi="Times New Roman" w:cs="方正仿宋_GBK"/>
          <w:color w:val="auto"/>
          <w:kern w:val="2"/>
          <w:lang w:bidi="ar"/>
        </w:rPr>
        <w:t>市、区两级粮食部门所属的粮油质检机构</w:t>
      </w:r>
      <w:r>
        <w:rPr>
          <w:rFonts w:hint="eastAsia" w:ascii="Times New Roman" w:hAnsi="Times New Roman" w:cs="方正仿宋_GBK"/>
          <w:color w:val="auto"/>
          <w:kern w:val="2"/>
          <w:lang w:eastAsia="zh-CN" w:bidi="ar"/>
        </w:rPr>
        <w:t>，</w:t>
      </w:r>
      <w:r>
        <w:rPr>
          <w:rFonts w:hint="eastAsia" w:ascii="Times New Roman" w:hAnsi="Times New Roman" w:cs="方正仿宋_GBK"/>
          <w:color w:val="auto"/>
          <w:kern w:val="2"/>
          <w:lang w:bidi="ar"/>
        </w:rPr>
        <w:t>提升粮食质量安全检验检测水平建设的相关企业和机构。</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right="0" w:rightChars="0" w:firstLine="632" w:firstLineChars="200"/>
        <w:textAlignment w:val="auto"/>
        <w:outlineLvl w:val="9"/>
        <w:rPr>
          <w:rFonts w:hint="eastAsia" w:ascii="Times New Roman" w:hAnsi="Times New Roman" w:eastAsia="方正楷体_GBK" w:cs="方正楷体_GBK"/>
          <w:color w:val="auto"/>
          <w:kern w:val="2"/>
          <w:lang w:bidi="ar"/>
        </w:rPr>
      </w:pPr>
      <w:r>
        <w:rPr>
          <w:rFonts w:hint="eastAsia" w:ascii="Times New Roman" w:hAnsi="Times New Roman" w:eastAsia="方正楷体_GBK" w:cs="方正楷体_GBK"/>
          <w:color w:val="auto"/>
          <w:kern w:val="2"/>
          <w:lang w:bidi="ar"/>
        </w:rPr>
        <w:t>（四）粮食机械装备提升行动项目</w:t>
      </w:r>
    </w:p>
    <w:p>
      <w:pPr>
        <w:keepNext w:val="0"/>
        <w:keepLines w:val="0"/>
        <w:pageBreakBefore w:val="0"/>
        <w:numPr>
          <w:ilvl w:val="12"/>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bidi="ar"/>
        </w:rPr>
      </w:pPr>
      <w:r>
        <w:rPr>
          <w:rFonts w:hint="eastAsia" w:ascii="Times New Roman" w:hAnsi="Times New Roman" w:cs="方正仿宋_GBK"/>
          <w:color w:val="auto"/>
          <w:kern w:val="2"/>
          <w:lang w:bidi="ar"/>
        </w:rPr>
        <w:t>粮食机械装备制造企业，储备及加工等机械装备应用企业。</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right="0" w:rightChars="0" w:firstLine="632" w:firstLineChars="200"/>
        <w:textAlignment w:val="auto"/>
        <w:outlineLvl w:val="9"/>
        <w:rPr>
          <w:rFonts w:hint="eastAsia" w:ascii="Times New Roman" w:hAnsi="Times New Roman" w:eastAsia="方正楷体_GBK" w:cs="方正楷体_GBK"/>
          <w:color w:val="auto"/>
          <w:kern w:val="2"/>
          <w:lang w:bidi="ar"/>
        </w:rPr>
      </w:pPr>
      <w:r>
        <w:rPr>
          <w:rFonts w:hint="eastAsia" w:ascii="Times New Roman" w:hAnsi="Times New Roman" w:eastAsia="方正楷体_GBK" w:cs="方正楷体_GBK"/>
          <w:color w:val="auto"/>
          <w:kern w:val="2"/>
          <w:lang w:bidi="ar"/>
        </w:rPr>
        <w:t>（五）粮食应急保障能力提升行动项目</w:t>
      </w:r>
    </w:p>
    <w:p>
      <w:pPr>
        <w:keepNext w:val="0"/>
        <w:keepLines w:val="0"/>
        <w:pageBreakBefore w:val="0"/>
        <w:numPr>
          <w:ilvl w:val="12"/>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bidi="ar"/>
        </w:rPr>
      </w:pPr>
      <w:r>
        <w:rPr>
          <w:rFonts w:hint="eastAsia" w:ascii="Times New Roman" w:hAnsi="Times New Roman" w:cs="方正仿宋_GBK"/>
          <w:color w:val="auto"/>
          <w:kern w:val="2"/>
          <w:lang w:bidi="ar"/>
        </w:rPr>
        <w:t>具备较强粮食加工和供给能力</w:t>
      </w:r>
      <w:r>
        <w:rPr>
          <w:rFonts w:hint="eastAsia" w:ascii="Times New Roman" w:hAnsi="Times New Roman" w:cs="方正仿宋_GBK"/>
          <w:color w:val="auto"/>
          <w:kern w:val="2"/>
          <w:lang w:eastAsia="zh-CN" w:bidi="ar"/>
        </w:rPr>
        <w:t>的应急保障企业，</w:t>
      </w:r>
      <w:r>
        <w:rPr>
          <w:rFonts w:hint="eastAsia" w:ascii="Times New Roman" w:hAnsi="Times New Roman" w:cs="方正仿宋_GBK"/>
          <w:color w:val="auto"/>
          <w:kern w:val="2"/>
          <w:lang w:bidi="ar"/>
        </w:rPr>
        <w:t>承担各级政府成品粮油储备的企业</w:t>
      </w:r>
      <w:r>
        <w:rPr>
          <w:rFonts w:hint="eastAsia" w:ascii="Times New Roman" w:hAnsi="Times New Roman" w:cs="方正仿宋_GBK"/>
          <w:color w:val="auto"/>
          <w:kern w:val="2"/>
          <w:lang w:eastAsia="zh-CN" w:bidi="ar"/>
        </w:rPr>
        <w:t>，</w:t>
      </w:r>
      <w:r>
        <w:rPr>
          <w:rFonts w:hint="eastAsia" w:ascii="Times New Roman" w:hAnsi="Times New Roman" w:cs="方正仿宋_GBK"/>
          <w:color w:val="auto"/>
          <w:kern w:val="2"/>
          <w:lang w:bidi="ar"/>
        </w:rPr>
        <w:t>国家乡村振兴重点帮扶县的粮油企业。</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right="0" w:rightChars="0" w:firstLine="632" w:firstLineChars="200"/>
        <w:textAlignment w:val="auto"/>
        <w:outlineLvl w:val="9"/>
        <w:rPr>
          <w:rFonts w:hint="eastAsia" w:ascii="Times New Roman" w:hAnsi="Times New Roman" w:eastAsia="方正楷体_GBK" w:cs="方正楷体_GBK"/>
          <w:color w:val="auto"/>
          <w:kern w:val="2"/>
          <w:lang w:bidi="ar"/>
        </w:rPr>
      </w:pPr>
      <w:r>
        <w:rPr>
          <w:rFonts w:hint="eastAsia" w:ascii="Times New Roman" w:hAnsi="Times New Roman" w:eastAsia="方正楷体_GBK" w:cs="方正楷体_GBK"/>
          <w:color w:val="auto"/>
          <w:kern w:val="2"/>
          <w:lang w:bidi="ar"/>
        </w:rPr>
        <w:t>（六）粮食节约减损健康消费提升行动项目</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lang w:bidi="ar"/>
        </w:rPr>
        <w:t>涉粮企业、涉粮农民专业合作社、农业产业化联合体、高校和科研院所等。</w:t>
      </w:r>
    </w:p>
    <w:p>
      <w:pPr>
        <w:keepNext w:val="0"/>
        <w:keepLines w:val="0"/>
        <w:pageBreakBefore w:val="0"/>
        <w:numPr>
          <w:ilvl w:val="12"/>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四、申报流程</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优质粮食工程项目按照建设主体申报，区县（自治县）组织初审把关，市级组织评审核定的程序进行。</w:t>
      </w:r>
    </w:p>
    <w:p>
      <w:pPr>
        <w:keepNext w:val="0"/>
        <w:keepLines w:val="0"/>
        <w:pageBreakBefore w:val="0"/>
        <w:numPr>
          <w:ilvl w:val="-1"/>
          <w:numId w:val="0"/>
        </w:numPr>
        <w:kinsoku/>
        <w:wordWrap/>
        <w:overflowPunct w:val="0"/>
        <w:topLinePunct w:val="0"/>
        <w:autoSpaceDE/>
        <w:autoSpaceDN/>
        <w:bidi w:val="0"/>
        <w:adjustRightInd/>
        <w:snapToGrid/>
        <w:spacing w:before="0" w:after="0" w:afterAutospacing="0" w:line="240" w:lineRule="auto"/>
        <w:ind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eastAsia="方正楷体_GBK" w:cs="方正楷体_GBK"/>
          <w:color w:val="auto"/>
          <w:kern w:val="2"/>
          <w:lang w:bidi="ar"/>
        </w:rPr>
        <w:t>（</w:t>
      </w:r>
      <w:r>
        <w:rPr>
          <w:rFonts w:hint="eastAsia" w:ascii="Times New Roman" w:hAnsi="Times New Roman" w:eastAsia="方正楷体_GBK" w:cs="方正楷体_GBK"/>
          <w:color w:val="auto"/>
          <w:kern w:val="2"/>
          <w:lang w:eastAsia="zh-CN" w:bidi="ar"/>
        </w:rPr>
        <w:t>一</w:t>
      </w:r>
      <w:r>
        <w:rPr>
          <w:rFonts w:hint="eastAsia" w:ascii="Times New Roman" w:hAnsi="Times New Roman" w:eastAsia="方正楷体_GBK" w:cs="方正楷体_GBK"/>
          <w:color w:val="auto"/>
          <w:kern w:val="2"/>
          <w:lang w:bidi="ar"/>
        </w:rPr>
        <w:t>）项目申报。</w:t>
      </w:r>
      <w:r>
        <w:rPr>
          <w:rFonts w:hint="eastAsia" w:ascii="Times New Roman" w:hAnsi="Times New Roman" w:cs="方正仿宋_GBK"/>
          <w:color w:val="auto"/>
          <w:kern w:val="2"/>
        </w:rPr>
        <w:t>各区县（自治县）粮食和财政部门结合本地实际，鼓励打造粮食全产业链，本着扶强扶优、重点帮扶的原则，编制上报2023年度优质粮食工程项目请示、总体建设方案（见附件1）。指导项目建设主体对照要求，填报202</w:t>
      </w:r>
      <w:r>
        <w:rPr>
          <w:rFonts w:hint="eastAsia" w:ascii="Times New Roman" w:hAnsi="Times New Roman" w:cs="方正仿宋_GBK"/>
          <w:color w:val="auto"/>
          <w:kern w:val="2"/>
          <w:lang w:eastAsia="zh-CN"/>
        </w:rPr>
        <w:t>3</w:t>
      </w:r>
      <w:r>
        <w:rPr>
          <w:rFonts w:hint="eastAsia" w:ascii="Times New Roman" w:hAnsi="Times New Roman" w:cs="方正仿宋_GBK"/>
          <w:color w:val="auto"/>
          <w:kern w:val="2"/>
        </w:rPr>
        <w:t>年度优质粮食工程项目申报书（见附件3）及申报材料。对已获得其他同类型财政性资金支持的项目，原则上不再支持。</w:t>
      </w:r>
    </w:p>
    <w:p>
      <w:pPr>
        <w:keepNext w:val="0"/>
        <w:keepLines w:val="0"/>
        <w:pageBreakBefore w:val="0"/>
        <w:numPr>
          <w:ilvl w:val="0"/>
          <w:numId w:val="0"/>
        </w:numPr>
        <w:kinsoku/>
        <w:wordWrap/>
        <w:overflowPunct w:val="0"/>
        <w:topLinePunct w:val="0"/>
        <w:autoSpaceDE/>
        <w:autoSpaceDN/>
        <w:bidi w:val="0"/>
        <w:adjustRightInd/>
        <w:snapToGrid/>
        <w:spacing w:before="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eastAsia="方正楷体_GBK" w:cs="方正楷体_GBK"/>
          <w:color w:val="auto"/>
          <w:kern w:val="2"/>
          <w:lang w:bidi="ar"/>
        </w:rPr>
        <w:t>（二）项目初审。</w:t>
      </w:r>
      <w:r>
        <w:rPr>
          <w:rFonts w:hint="eastAsia" w:ascii="Times New Roman" w:hAnsi="Times New Roman" w:cs="方正仿宋_GBK"/>
          <w:color w:val="auto"/>
          <w:kern w:val="2"/>
        </w:rPr>
        <w:t>各区县（自治县）粮食和财政部门通过部门联审、专家评审或第三方机构审核等方式，对辖区内符合条件的支持对象申报材料进行初审，核实建设内容，明确绩效目标，严格审核资金预算和资金落实情况。择优选择符合要求的项目，形成2023年度优质粮食工程项目申报汇总表（见附件2）。</w:t>
      </w:r>
    </w:p>
    <w:p>
      <w:pPr>
        <w:keepNext w:val="0"/>
        <w:keepLines w:val="0"/>
        <w:pageBreakBefore w:val="0"/>
        <w:numPr>
          <w:ilvl w:val="0"/>
          <w:numId w:val="0"/>
        </w:numPr>
        <w:kinsoku/>
        <w:wordWrap/>
        <w:overflowPunct w:val="0"/>
        <w:topLinePunct w:val="0"/>
        <w:autoSpaceDE/>
        <w:autoSpaceDN/>
        <w:bidi w:val="0"/>
        <w:adjustRightInd/>
        <w:snapToGrid/>
        <w:spacing w:before="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eastAsia="方正楷体_GBK" w:cs="方正楷体_GBK"/>
          <w:color w:val="auto"/>
          <w:kern w:val="2"/>
          <w:lang w:bidi="ar"/>
        </w:rPr>
        <w:t>（三）市级评审。</w:t>
      </w:r>
      <w:r>
        <w:rPr>
          <w:rFonts w:hint="eastAsia" w:ascii="Times New Roman" w:hAnsi="Times New Roman" w:cs="方正仿宋_GBK"/>
          <w:color w:val="auto"/>
          <w:spacing w:val="0"/>
          <w:kern w:val="2"/>
        </w:rPr>
        <w:t>市粮食局会同市财政局组织优质粮食工程项目评审组，对各区县（自治县）上报的总体建设方案及项目申报材料进行评审。</w:t>
      </w:r>
      <w:r>
        <w:rPr>
          <w:rFonts w:hint="eastAsia" w:ascii="Times New Roman" w:hAnsi="Times New Roman" w:cs="方正仿宋_GBK"/>
          <w:color w:val="auto"/>
          <w:kern w:val="2"/>
        </w:rPr>
        <w:t>采取竞争择优的方式确定实施项目。</w:t>
      </w:r>
    </w:p>
    <w:p>
      <w:pPr>
        <w:keepNext w:val="0"/>
        <w:keepLines w:val="0"/>
        <w:pageBreakBefore w:val="0"/>
        <w:numPr>
          <w:ilvl w:val="12"/>
          <w:numId w:val="0"/>
        </w:numPr>
        <w:kinsoku/>
        <w:wordWrap/>
        <w:overflowPunct w:val="0"/>
        <w:topLinePunct w:val="0"/>
        <w:autoSpaceDE/>
        <w:autoSpaceDN/>
        <w:bidi w:val="0"/>
        <w:adjustRightInd/>
        <w:snapToGrid/>
        <w:spacing w:before="0" w:after="0" w:afterAutospacing="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五、申报材料</w:t>
      </w:r>
    </w:p>
    <w:p>
      <w:pPr>
        <w:keepNext w:val="0"/>
        <w:keepLines w:val="0"/>
        <w:pageBreakBefore w:val="0"/>
        <w:numPr>
          <w:ilvl w:val="12"/>
          <w:numId w:val="0"/>
        </w:numPr>
        <w:kinsoku/>
        <w:wordWrap/>
        <w:overflowPunct w:val="0"/>
        <w:topLinePunct w:val="0"/>
        <w:autoSpaceDE/>
        <w:autoSpaceDN/>
        <w:bidi w:val="0"/>
        <w:adjustRightInd/>
        <w:snapToGrid/>
        <w:spacing w:before="0" w:after="0" w:afterAutospacing="0" w:line="240" w:lineRule="auto"/>
        <w:ind w:left="0" w:leftChars="0" w:right="0" w:rightChars="0" w:firstLine="632" w:firstLineChars="200"/>
        <w:textAlignment w:val="auto"/>
        <w:outlineLvl w:val="9"/>
        <w:rPr>
          <w:rFonts w:hint="eastAsia" w:ascii="Times New Roman" w:hAnsi="Times New Roman" w:eastAsia="方正仿宋_GBK" w:cs="方正仿宋_GBK"/>
          <w:color w:val="auto"/>
          <w:kern w:val="2"/>
        </w:rPr>
      </w:pPr>
      <w:r>
        <w:rPr>
          <w:rFonts w:hint="eastAsia" w:ascii="Times New Roman" w:hAnsi="Times New Roman" w:cs="方正仿宋_GBK"/>
          <w:color w:val="auto"/>
        </w:rPr>
        <w:t>根据2023年度优质粮食工程项目申报要求，结合重庆市粮食局和重庆市财政局联合印发的《重庆市深入推进优质粮食工程实施方案》（渝粮规范〔2022〕4号）、《重庆市优质粮食工程项目及资金管理办法》（渝粮规范〔2022〕8号）文件，编制申报材料。</w:t>
      </w:r>
    </w:p>
    <w:p>
      <w:pPr>
        <w:numPr>
          <w:ilvl w:val="-1"/>
          <w:numId w:val="0"/>
        </w:numPr>
        <w:overflowPunct w:val="0"/>
        <w:adjustRightInd/>
        <w:snapToGrid/>
        <w:spacing w:before="0" w:after="0" w:line="240" w:lineRule="auto"/>
        <w:ind w:left="0" w:firstLine="632" w:firstLineChars="200"/>
        <w:textAlignment w:val="auto"/>
        <w:outlineLvl w:val="9"/>
        <w:rPr>
          <w:rFonts w:hint="eastAsia" w:ascii="Times New Roman" w:hAnsi="Times New Roman" w:eastAsia="方正楷体_GBK" w:cs="方正楷体_GBK"/>
          <w:color w:val="auto"/>
          <w:kern w:val="2"/>
          <w:lang w:bidi="ar"/>
        </w:rPr>
      </w:pPr>
      <w:r>
        <w:rPr>
          <w:rFonts w:hint="eastAsia" w:ascii="Times New Roman" w:hAnsi="Times New Roman" w:eastAsia="方正楷体_GBK" w:cs="方正楷体_GBK"/>
          <w:color w:val="auto"/>
          <w:kern w:val="2"/>
          <w:lang w:bidi="ar"/>
        </w:rPr>
        <w:t>（一）报送材料</w:t>
      </w:r>
    </w:p>
    <w:p>
      <w:pPr>
        <w:numPr>
          <w:ilvl w:val="12"/>
          <w:numId w:val="0"/>
        </w:numPr>
        <w:overflowPunct w:val="0"/>
        <w:adjustRightInd/>
        <w:snapToGrid/>
        <w:spacing w:before="0" w:after="0" w:line="240" w:lineRule="auto"/>
        <w:ind w:left="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1</w:t>
      </w:r>
      <w:r>
        <w:rPr>
          <w:rFonts w:hint="eastAsia" w:ascii="Times New Roman" w:hAnsi="Times New Roman" w:cs="方正仿宋_GBK"/>
          <w:color w:val="auto"/>
          <w:kern w:val="2"/>
          <w:lang w:eastAsia="zh-CN"/>
        </w:rPr>
        <w:t>．</w:t>
      </w:r>
      <w:r>
        <w:rPr>
          <w:rFonts w:hint="eastAsia" w:ascii="Times New Roman" w:hAnsi="Times New Roman" w:cs="方正仿宋_GBK"/>
          <w:color w:val="auto"/>
          <w:kern w:val="2"/>
        </w:rPr>
        <w:t>关于申报2023年度优质粮食工程项目的请示。</w:t>
      </w:r>
    </w:p>
    <w:p>
      <w:pPr>
        <w:numPr>
          <w:ilvl w:val="12"/>
          <w:numId w:val="0"/>
        </w:numPr>
        <w:overflowPunct w:val="0"/>
        <w:adjustRightInd/>
        <w:snapToGrid/>
        <w:spacing w:before="0" w:after="0" w:line="240" w:lineRule="auto"/>
        <w:ind w:left="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kern w:val="2"/>
        </w:rPr>
        <w:t>2</w:t>
      </w:r>
      <w:r>
        <w:rPr>
          <w:rFonts w:hint="eastAsia" w:ascii="Times New Roman" w:hAnsi="Times New Roman" w:cs="方正仿宋_GBK"/>
          <w:color w:val="auto"/>
          <w:kern w:val="2"/>
          <w:lang w:eastAsia="zh-CN"/>
        </w:rPr>
        <w:t>．</w:t>
      </w:r>
      <w:r>
        <w:rPr>
          <w:rFonts w:hint="eastAsia" w:ascii="Times New Roman" w:hAnsi="Times New Roman" w:cs="方正仿宋_GBK"/>
          <w:color w:val="auto"/>
          <w:kern w:val="2"/>
        </w:rPr>
        <w:t>按照“2023年度优质粮食工程总体建设方案”（附件1）、“2023年度优质粮食工程项目申报汇总表”（附件2）、</w:t>
      </w:r>
      <w:r>
        <w:rPr>
          <w:rFonts w:hint="eastAsia" w:ascii="Times New Roman" w:hAnsi="Times New Roman" w:cs="方正仿宋_GBK"/>
          <w:color w:val="auto"/>
        </w:rPr>
        <w:t>“</w:t>
      </w:r>
      <w:r>
        <w:rPr>
          <w:rFonts w:hint="eastAsia" w:ascii="Times New Roman" w:hAnsi="Times New Roman" w:cs="方正仿宋_GBK"/>
          <w:color w:val="auto"/>
          <w:kern w:val="2"/>
        </w:rPr>
        <w:t>2023年度优质粮食工程项目申报书</w:t>
      </w:r>
      <w:r>
        <w:rPr>
          <w:rFonts w:hint="eastAsia" w:ascii="Times New Roman" w:hAnsi="Times New Roman" w:cs="方正仿宋_GBK"/>
          <w:color w:val="auto"/>
        </w:rPr>
        <w:t>”（附件3）模板编制相关材料。</w:t>
      </w:r>
    </w:p>
    <w:p>
      <w:pPr>
        <w:keepNext w:val="0"/>
        <w:keepLines w:val="0"/>
        <w:pageBreakBefore w:val="0"/>
        <w:numPr>
          <w:ilvl w:val="-1"/>
          <w:numId w:val="0"/>
        </w:numPr>
        <w:kinsoku/>
        <w:wordWrap/>
        <w:overflowPunct w:val="0"/>
        <w:topLinePunct w:val="0"/>
        <w:autoSpaceDE/>
        <w:autoSpaceDN/>
        <w:bidi w:val="0"/>
        <w:adjustRightInd/>
        <w:snapToGrid/>
        <w:spacing w:before="0" w:after="0" w:afterAutospacing="0" w:line="240" w:lineRule="auto"/>
        <w:ind w:left="0" w:leftChars="0" w:right="0" w:rightChars="0" w:firstLine="632" w:firstLineChars="200"/>
        <w:jc w:val="left"/>
        <w:textAlignment w:val="auto"/>
        <w:outlineLvl w:val="9"/>
        <w:rPr>
          <w:rFonts w:hint="eastAsia" w:ascii="Times New Roman" w:hAnsi="Times New Roman" w:eastAsia="方正楷体_GBK" w:cs="方正楷体_GBK"/>
          <w:color w:val="auto"/>
          <w:kern w:val="2"/>
          <w:lang w:bidi="ar"/>
        </w:rPr>
      </w:pPr>
      <w:r>
        <w:rPr>
          <w:rFonts w:hint="eastAsia" w:ascii="Times New Roman" w:hAnsi="Times New Roman" w:eastAsia="方正楷体_GBK" w:cs="方正楷体_GBK"/>
          <w:color w:val="auto"/>
          <w:kern w:val="2"/>
          <w:lang w:bidi="ar"/>
        </w:rPr>
        <w:t>（二）项目投资估算材料要求</w:t>
      </w:r>
    </w:p>
    <w:p>
      <w:pPr>
        <w:numPr>
          <w:ilvl w:val="12"/>
          <w:numId w:val="0"/>
        </w:numPr>
        <w:overflowPunct w:val="0"/>
        <w:adjustRightInd/>
        <w:snapToGrid/>
        <w:spacing w:before="0" w:after="0" w:line="240" w:lineRule="auto"/>
        <w:ind w:left="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1</w:t>
      </w:r>
      <w:r>
        <w:rPr>
          <w:rFonts w:hint="eastAsia" w:ascii="Times New Roman" w:hAnsi="Times New Roman" w:cs="方正仿宋_GBK"/>
          <w:color w:val="auto"/>
          <w:kern w:val="2"/>
          <w:lang w:eastAsia="zh-CN"/>
        </w:rPr>
        <w:t>．</w:t>
      </w:r>
      <w:r>
        <w:rPr>
          <w:rFonts w:hint="eastAsia" w:ascii="Times New Roman" w:hAnsi="Times New Roman" w:cs="方正仿宋_GBK"/>
          <w:color w:val="auto"/>
          <w:kern w:val="2"/>
        </w:rPr>
        <w:t>项目总投资概算，要明确工程规模，细化工程量和工程单价。</w:t>
      </w:r>
    </w:p>
    <w:p>
      <w:pPr>
        <w:numPr>
          <w:ilvl w:val="12"/>
          <w:numId w:val="0"/>
        </w:numPr>
        <w:overflowPunct w:val="0"/>
        <w:adjustRightInd/>
        <w:snapToGrid/>
        <w:spacing w:before="0" w:after="0" w:line="240" w:lineRule="auto"/>
        <w:ind w:left="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2</w:t>
      </w:r>
      <w:r>
        <w:rPr>
          <w:rFonts w:hint="eastAsia" w:ascii="Times New Roman" w:hAnsi="Times New Roman" w:cs="方正仿宋_GBK"/>
          <w:color w:val="auto"/>
          <w:kern w:val="2"/>
          <w:lang w:eastAsia="zh-CN"/>
        </w:rPr>
        <w:t>．</w:t>
      </w:r>
      <w:r>
        <w:rPr>
          <w:rFonts w:hint="eastAsia" w:ascii="Times New Roman" w:hAnsi="Times New Roman" w:cs="方正仿宋_GBK"/>
          <w:color w:val="auto"/>
          <w:kern w:val="2"/>
        </w:rPr>
        <w:t>设备投资应提供设备清单表，应注明型号参数，优先选择国产设备，成套设备应提供设备说明。</w:t>
      </w:r>
    </w:p>
    <w:p>
      <w:pPr>
        <w:numPr>
          <w:ilvl w:val="12"/>
          <w:numId w:val="0"/>
        </w:numPr>
        <w:overflowPunct w:val="0"/>
        <w:adjustRightInd/>
        <w:snapToGrid/>
        <w:spacing w:before="0" w:after="0" w:line="240" w:lineRule="auto"/>
        <w:ind w:left="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3</w:t>
      </w:r>
      <w:r>
        <w:rPr>
          <w:rFonts w:hint="eastAsia" w:ascii="Times New Roman" w:hAnsi="Times New Roman" w:cs="方正仿宋_GBK"/>
          <w:color w:val="auto"/>
          <w:kern w:val="2"/>
          <w:lang w:eastAsia="zh-CN"/>
        </w:rPr>
        <w:t>．</w:t>
      </w:r>
      <w:r>
        <w:rPr>
          <w:rFonts w:hint="eastAsia" w:ascii="Times New Roman" w:hAnsi="Times New Roman" w:cs="方正仿宋_GBK"/>
          <w:color w:val="auto"/>
          <w:kern w:val="2"/>
        </w:rPr>
        <w:t>建筑物、构筑物改造应说明改造前的现状条件，并明确具体改造的工程内容、材料形式。</w:t>
      </w:r>
    </w:p>
    <w:p>
      <w:pPr>
        <w:numPr>
          <w:ilvl w:val="12"/>
          <w:numId w:val="0"/>
        </w:numPr>
        <w:overflowPunct w:val="0"/>
        <w:adjustRightInd/>
        <w:snapToGrid/>
        <w:spacing w:before="0" w:after="0" w:line="240" w:lineRule="auto"/>
        <w:ind w:left="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4</w:t>
      </w:r>
      <w:r>
        <w:rPr>
          <w:rFonts w:hint="eastAsia" w:ascii="Times New Roman" w:hAnsi="Times New Roman" w:cs="方正仿宋_GBK"/>
          <w:color w:val="auto"/>
          <w:kern w:val="2"/>
          <w:lang w:eastAsia="zh-CN"/>
        </w:rPr>
        <w:t>．</w:t>
      </w:r>
      <w:r>
        <w:rPr>
          <w:rFonts w:hint="eastAsia" w:ascii="Times New Roman" w:hAnsi="Times New Roman" w:cs="方正仿宋_GBK"/>
          <w:color w:val="auto"/>
          <w:kern w:val="2"/>
        </w:rPr>
        <w:t>投资较大的项目（如大于100万元）应细化具体工程方案。</w:t>
      </w:r>
    </w:p>
    <w:p>
      <w:pPr>
        <w:keepNext w:val="0"/>
        <w:keepLines w:val="0"/>
        <w:pageBreakBefore w:val="0"/>
        <w:numPr>
          <w:ilvl w:val="12"/>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六、有关要求</w:t>
      </w:r>
    </w:p>
    <w:p>
      <w:pPr>
        <w:keepNext w:val="0"/>
        <w:keepLines w:val="0"/>
        <w:pageBreakBefore w:val="0"/>
        <w:kinsoku/>
        <w:wordWrap/>
        <w:overflowPunct w:val="0"/>
        <w:topLinePunct w:val="0"/>
        <w:autoSpaceDE/>
        <w:autoSpaceDN/>
        <w:bidi w:val="0"/>
        <w:adjustRightInd/>
        <w:snapToGrid/>
        <w:spacing w:before="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（一）</w:t>
      </w:r>
      <w:r>
        <w:rPr>
          <w:rFonts w:hint="eastAsia" w:ascii="Times New Roman" w:hAnsi="Times New Roman" w:cs="方正仿宋_GBK"/>
          <w:color w:val="auto"/>
        </w:rPr>
        <w:t>项目申报应实事求是，严禁将不符合申报条件、总投资虚高、建设内容与“六大提升行动”</w:t>
      </w:r>
      <w:r>
        <w:rPr>
          <w:rFonts w:hint="eastAsia" w:ascii="Times New Roman" w:hAnsi="Times New Roman" w:cs="方正仿宋_GBK"/>
          <w:color w:val="auto"/>
          <w:kern w:val="2"/>
        </w:rPr>
        <w:t>无关、无法形成实物投资、无法按时开工、无法如期完工的项目进行</w:t>
      </w:r>
      <w:r>
        <w:rPr>
          <w:rFonts w:hint="eastAsia" w:ascii="Times New Roman" w:hAnsi="Times New Roman" w:cs="方正仿宋_GBK"/>
          <w:color w:val="auto"/>
        </w:rPr>
        <w:t>申报。</w:t>
      </w:r>
    </w:p>
    <w:p>
      <w:pPr>
        <w:keepNext w:val="0"/>
        <w:keepLines w:val="0"/>
        <w:pageBreakBefore w:val="0"/>
        <w:kinsoku/>
        <w:wordWrap/>
        <w:overflowPunct w:val="0"/>
        <w:topLinePunct w:val="0"/>
        <w:autoSpaceDE/>
        <w:autoSpaceDN/>
        <w:bidi w:val="0"/>
        <w:adjustRightInd/>
        <w:snapToGrid/>
        <w:spacing w:before="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rPr>
        <w:t>（二）每个单位限报</w:t>
      </w:r>
      <w:r>
        <w:rPr>
          <w:rFonts w:hint="eastAsia" w:ascii="Times New Roman" w:hAnsi="Times New Roman" w:cs="方正仿宋_GBK"/>
          <w:color w:val="auto"/>
          <w:kern w:val="2"/>
        </w:rPr>
        <w:t>“六大提升行动”</w:t>
      </w:r>
      <w:r>
        <w:rPr>
          <w:rFonts w:hint="eastAsia" w:ascii="Times New Roman" w:hAnsi="Times New Roman" w:cs="方正仿宋_GBK"/>
          <w:color w:val="auto"/>
        </w:rPr>
        <w:t>1类专项</w:t>
      </w:r>
      <w:r>
        <w:rPr>
          <w:rFonts w:hint="eastAsia" w:ascii="Times New Roman" w:hAnsi="Times New Roman" w:cs="方正仿宋_GBK"/>
          <w:color w:val="auto"/>
          <w:kern w:val="2"/>
        </w:rPr>
        <w:t>。央企、市属国有企业、科研院校及质检机构等单位按照属地管理原则纳入当地申报。</w:t>
      </w:r>
    </w:p>
    <w:p>
      <w:pPr>
        <w:keepNext w:val="0"/>
        <w:keepLines w:val="0"/>
        <w:pageBreakBefore w:val="0"/>
        <w:kinsoku/>
        <w:wordWrap/>
        <w:overflowPunct w:val="0"/>
        <w:topLinePunct w:val="0"/>
        <w:autoSpaceDE/>
        <w:autoSpaceDN/>
        <w:bidi w:val="0"/>
        <w:adjustRightInd/>
        <w:snapToGrid/>
        <w:spacing w:before="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lang w:bidi="ar"/>
        </w:rPr>
        <w:t>（三）粮食绿色仓储提升行动项目应至少使用一项绿色储粮技术，明确技术工艺及达到的参数指标。粮食应急保障能力提升行动粮油加工厂项目应清晰说明拟采用的工艺、实施的内容、应用的新技术、先进的设备及型号数量等，明确建成后产能产值、优质粮食增加量等指标。</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lang w:bidi="ar"/>
        </w:rPr>
        <w:t>（四）各区县（自治县）要提高政治站位，加强统筹谋划，</w:t>
      </w:r>
      <w:r>
        <w:rPr>
          <w:rFonts w:hint="eastAsia" w:ascii="Times New Roman" w:hAnsi="Times New Roman" w:cs="方正仿宋_GBK"/>
          <w:color w:val="auto"/>
          <w:kern w:val="2"/>
        </w:rPr>
        <w:t>结合本地区优势特色和产业基础，坚持需求导向，合理确定建设内容，分批推进。要优先支持纳入《重庆市粮食产业高质量发展规划》的项目。要认真组织和指导企业，按要求扎实做好申报工作，</w:t>
      </w:r>
      <w:r>
        <w:rPr>
          <w:rFonts w:hint="eastAsia" w:ascii="Times New Roman" w:hAnsi="Times New Roman" w:cs="方正仿宋_GBK"/>
          <w:color w:val="auto"/>
          <w:kern w:val="2"/>
          <w:lang w:bidi="ar"/>
        </w:rPr>
        <w:t>把好项目审核关，</w:t>
      </w:r>
      <w:r>
        <w:rPr>
          <w:rFonts w:hint="eastAsia" w:ascii="Times New Roman" w:hAnsi="Times New Roman" w:cs="方正仿宋_GBK"/>
          <w:color w:val="auto"/>
          <w:kern w:val="2"/>
        </w:rPr>
        <w:t>确保工作顺利推进。</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市粮食局联系人：胡冬强，联系电话：67576215，邮箱：</w:t>
      </w:r>
      <w:r>
        <w:rPr>
          <w:rFonts w:hint="eastAsia" w:ascii="Times New Roman" w:hAnsi="Times New Roman" w:cs="方正仿宋_GBK"/>
          <w:color w:val="auto"/>
          <w:kern w:val="2"/>
        </w:rPr>
        <w:fldChar w:fldCharType="begin"/>
      </w:r>
      <w:r>
        <w:rPr>
          <w:rFonts w:hint="eastAsia" w:ascii="Times New Roman" w:hAnsi="Times New Roman" w:cs="方正仿宋_GBK"/>
          <w:color w:val="auto"/>
          <w:kern w:val="2"/>
        </w:rPr>
        <w:instrText xml:space="preserve"> HYPERLINK "mailto:cqsls123@126.com" </w:instrText>
      </w:r>
      <w:r>
        <w:rPr>
          <w:rFonts w:hint="eastAsia" w:ascii="Times New Roman" w:hAnsi="Times New Roman" w:cs="方正仿宋_GBK"/>
          <w:color w:val="auto"/>
          <w:kern w:val="2"/>
        </w:rPr>
        <w:fldChar w:fldCharType="separate"/>
      </w:r>
      <w:r>
        <w:rPr>
          <w:rFonts w:hint="eastAsia" w:ascii="Times New Roman" w:hAnsi="Times New Roman" w:cs="方正仿宋_GBK"/>
          <w:color w:val="auto"/>
          <w:kern w:val="2"/>
        </w:rPr>
        <w:t>cqsls123@126.com</w:t>
      </w:r>
      <w:r>
        <w:rPr>
          <w:rFonts w:hint="eastAsia" w:ascii="Times New Roman" w:hAnsi="Times New Roman" w:cs="方正仿宋_GBK"/>
          <w:color w:val="auto"/>
          <w:kern w:val="2"/>
        </w:rPr>
        <w:fldChar w:fldCharType="end"/>
      </w:r>
      <w:r>
        <w:rPr>
          <w:rFonts w:hint="eastAsia" w:ascii="Times New Roman" w:hAnsi="Times New Roman" w:cs="方正仿宋_GBK"/>
          <w:color w:val="auto"/>
          <w:kern w:val="2"/>
        </w:rPr>
        <w:t>。</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bidi="ar"/>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ascii="Times New Roman" w:hAnsi="Times New Roman"/>
          <w:color w:val="auto"/>
          <w:kern w:val="2"/>
        </w:rPr>
      </w:pPr>
      <w:r>
        <w:rPr>
          <w:rFonts w:hint="eastAsia" w:ascii="Times New Roman" w:hAnsi="Times New Roman" w:cs="方正仿宋_GBK"/>
          <w:color w:val="auto"/>
          <w:kern w:val="2"/>
        </w:rPr>
        <w:t>附件：1．XX区县（自治县</w:t>
      </w:r>
      <w:r>
        <w:rPr>
          <w:rFonts w:ascii="Times New Roman" w:hAnsi="Times New Roman"/>
          <w:color w:val="auto"/>
          <w:kern w:val="2"/>
        </w:rPr>
        <w:t>）2023年度优质粮食工程总体</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2054" w:firstLineChars="650"/>
        <w:textAlignment w:val="auto"/>
        <w:outlineLvl w:val="9"/>
        <w:rPr>
          <w:rFonts w:ascii="Times New Roman" w:hAnsi="Times New Roman"/>
          <w:color w:val="auto"/>
          <w:kern w:val="2"/>
          <w:sz w:val="21"/>
          <w:szCs w:val="24"/>
        </w:rPr>
      </w:pPr>
      <w:r>
        <w:rPr>
          <w:rFonts w:ascii="Times New Roman" w:hAnsi="Times New Roman"/>
          <w:color w:val="auto"/>
          <w:kern w:val="2"/>
        </w:rPr>
        <w:t>建设方案</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right="0" w:rightChars="0" w:firstLine="1580" w:firstLineChars="500"/>
        <w:textAlignment w:val="auto"/>
        <w:outlineLvl w:val="9"/>
        <w:rPr>
          <w:rFonts w:ascii="Times New Roman" w:hAnsi="Times New Roman"/>
          <w:color w:val="auto"/>
          <w:kern w:val="2"/>
        </w:rPr>
      </w:pPr>
      <w:r>
        <w:rPr>
          <w:rFonts w:ascii="Times New Roman" w:hAnsi="Times New Roman"/>
          <w:color w:val="auto"/>
          <w:kern w:val="2"/>
        </w:rPr>
        <w:t>2．2023年度优质粮食工程项目申报汇总表</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right="0" w:rightChars="0" w:firstLine="1580" w:firstLineChars="500"/>
        <w:textAlignment w:val="auto"/>
        <w:outlineLvl w:val="9"/>
        <w:rPr>
          <w:rFonts w:ascii="Times New Roman" w:hAnsi="Times New Roman"/>
          <w:color w:val="auto"/>
          <w:kern w:val="2"/>
        </w:rPr>
      </w:pPr>
      <w:r>
        <w:rPr>
          <w:rFonts w:ascii="Times New Roman" w:hAnsi="Times New Roman"/>
          <w:color w:val="auto"/>
          <w:kern w:val="2"/>
        </w:rPr>
        <w:t>3．XXX（建设主体名称）2023年度优质粮食工程</w:t>
      </w:r>
    </w:p>
    <w:p>
      <w:pPr>
        <w:keepNext w:val="0"/>
        <w:keepLines w:val="0"/>
        <w:pageBreakBefore w:val="0"/>
        <w:numPr>
          <w:ilvl w:val="-1"/>
          <w:numId w:val="0"/>
        </w:numPr>
        <w:kinsoku/>
        <w:wordWrap/>
        <w:overflowPunct w:val="0"/>
        <w:topLinePunct w:val="0"/>
        <w:autoSpaceDE/>
        <w:autoSpaceDN/>
        <w:bidi w:val="0"/>
        <w:adjustRightInd/>
        <w:snapToGrid/>
        <w:spacing w:before="0" w:after="0" w:line="240" w:lineRule="auto"/>
        <w:ind w:left="0" w:right="0" w:rightChars="0" w:firstLine="2054" w:firstLineChars="650"/>
        <w:textAlignment w:val="auto"/>
        <w:outlineLvl w:val="9"/>
        <w:rPr>
          <w:rFonts w:ascii="Times New Roman" w:hAnsi="Times New Roman"/>
          <w:color w:val="auto"/>
          <w:kern w:val="2"/>
        </w:rPr>
      </w:pPr>
      <w:r>
        <w:rPr>
          <w:rFonts w:ascii="Times New Roman" w:hAnsi="Times New Roman"/>
          <w:color w:val="auto"/>
          <w:kern w:val="2"/>
        </w:rPr>
        <w:t>项目申报书</w:t>
      </w:r>
    </w:p>
    <w:p>
      <w:pPr>
        <w:keepNext w:val="0"/>
        <w:keepLines w:val="0"/>
        <w:pageBreakBefore w:val="0"/>
        <w:kinsoku/>
        <w:wordWrap/>
        <w:overflowPunct w:val="0"/>
        <w:topLinePunct w:val="0"/>
        <w:autoSpaceDE/>
        <w:autoSpaceDN/>
        <w:bidi w:val="0"/>
        <w:adjustRightInd/>
        <w:snapToGrid/>
        <w:spacing w:before="0" w:after="0" w:line="240" w:lineRule="auto"/>
        <w:ind w:right="0" w:rightChars="0"/>
        <w:textAlignment w:val="auto"/>
        <w:outlineLvl w:val="9"/>
        <w:rPr>
          <w:rFonts w:ascii="Times New Roman" w:hAnsi="Times New Roman"/>
          <w:color w:val="auto"/>
          <w:kern w:val="2"/>
        </w:rPr>
      </w:pPr>
    </w:p>
    <w:p>
      <w:pPr>
        <w:keepNext w:val="0"/>
        <w:keepLines w:val="0"/>
        <w:pageBreakBefore w:val="0"/>
        <w:kinsoku/>
        <w:wordWrap/>
        <w:overflowPunct w:val="0"/>
        <w:topLinePunct w:val="0"/>
        <w:autoSpaceDE/>
        <w:autoSpaceDN/>
        <w:bidi w:val="0"/>
        <w:adjustRightInd/>
        <w:snapToGrid/>
        <w:spacing w:before="0" w:after="0" w:line="240" w:lineRule="auto"/>
        <w:ind w:right="0" w:rightChars="0"/>
        <w:textAlignment w:val="auto"/>
        <w:outlineLvl w:val="9"/>
        <w:rPr>
          <w:rFonts w:ascii="Times New Roman" w:hAnsi="Times New Roman"/>
          <w:color w:val="auto"/>
          <w:kern w:val="2"/>
        </w:rPr>
      </w:pPr>
    </w:p>
    <w:p>
      <w:pPr>
        <w:keepNext w:val="0"/>
        <w:keepLines w:val="0"/>
        <w:pageBreakBefore w:val="0"/>
        <w:kinsoku/>
        <w:wordWrap/>
        <w:overflowPunct w:val="0"/>
        <w:topLinePunct w:val="0"/>
        <w:autoSpaceDE/>
        <w:autoSpaceDN/>
        <w:bidi w:val="0"/>
        <w:adjustRightInd/>
        <w:snapToGrid/>
        <w:spacing w:before="0" w:after="0" w:line="240" w:lineRule="auto"/>
        <w:ind w:right="0" w:rightChars="0"/>
        <w:textAlignment w:val="auto"/>
        <w:outlineLvl w:val="9"/>
        <w:rPr>
          <w:rFonts w:ascii="Times New Roman" w:hAnsi="Times New Roman"/>
          <w:color w:val="auto"/>
          <w:kern w:val="2"/>
        </w:rPr>
      </w:pPr>
    </w:p>
    <w:p>
      <w:pPr>
        <w:keepNext w:val="0"/>
        <w:keepLines w:val="0"/>
        <w:pageBreakBefore w:val="0"/>
        <w:kinsoku/>
        <w:wordWrap/>
        <w:overflowPunct w:val="0"/>
        <w:topLinePunct w:val="0"/>
        <w:autoSpaceDE/>
        <w:autoSpaceDN/>
        <w:bidi w:val="0"/>
        <w:adjustRightInd/>
        <w:snapToGrid/>
        <w:spacing w:before="0" w:after="0" w:line="240" w:lineRule="auto"/>
        <w:ind w:right="0" w:rightChars="0" w:firstLine="948" w:firstLineChars="300"/>
        <w:textAlignment w:val="auto"/>
        <w:outlineLvl w:val="9"/>
        <w:rPr>
          <w:rFonts w:ascii="Times New Roman" w:hAnsi="Times New Roman"/>
          <w:color w:val="auto"/>
          <w:kern w:val="2"/>
        </w:rPr>
      </w:pPr>
      <w:r>
        <w:rPr>
          <w:rFonts w:ascii="Times New Roman" w:hAnsi="Times New Roman"/>
          <w:color w:val="auto"/>
          <w:kern w:val="2"/>
        </w:rPr>
        <w:t xml:space="preserve">重庆市粮食局             </w:t>
      </w:r>
      <w:r>
        <w:rPr>
          <w:rFonts w:hint="eastAsia" w:ascii="Times New Roman" w:hAnsi="Times New Roman"/>
          <w:color w:val="auto"/>
          <w:kern w:val="2"/>
          <w:lang w:val="en-US" w:eastAsia="zh-CN"/>
        </w:rPr>
        <w:t xml:space="preserve"> </w:t>
      </w:r>
      <w:r>
        <w:rPr>
          <w:rFonts w:ascii="Times New Roman" w:hAnsi="Times New Roman"/>
          <w:color w:val="auto"/>
          <w:kern w:val="2"/>
        </w:rPr>
        <w:t xml:space="preserve">   重庆市财政局</w:t>
      </w:r>
    </w:p>
    <w:p>
      <w:pPr>
        <w:keepNext w:val="0"/>
        <w:keepLines w:val="0"/>
        <w:pageBreakBefore w:val="0"/>
        <w:kinsoku/>
        <w:wordWrap/>
        <w:overflowPunct w:val="0"/>
        <w:topLinePunct w:val="0"/>
        <w:autoSpaceDE/>
        <w:autoSpaceDN/>
        <w:bidi w:val="0"/>
        <w:adjustRightInd/>
        <w:snapToGrid/>
        <w:spacing w:before="0" w:after="0" w:line="240" w:lineRule="auto"/>
        <w:ind w:right="0" w:rightChars="0"/>
        <w:textAlignment w:val="auto"/>
        <w:outlineLvl w:val="9"/>
        <w:rPr>
          <w:rFonts w:ascii="Times New Roman" w:hAnsi="Times New Roman"/>
          <w:color w:val="auto"/>
          <w:kern w:val="2"/>
        </w:rPr>
      </w:pPr>
      <w:r>
        <w:rPr>
          <w:rFonts w:ascii="Times New Roman" w:hAnsi="Times New Roman"/>
          <w:color w:val="auto"/>
          <w:kern w:val="2"/>
        </w:rPr>
        <w:t xml:space="preserve">                                 2023年3月</w:t>
      </w:r>
      <w:r>
        <w:rPr>
          <w:rFonts w:hint="eastAsia" w:ascii="Times New Roman" w:hAnsi="Times New Roman"/>
          <w:color w:val="auto"/>
          <w:kern w:val="2"/>
          <w:lang w:val="en-US" w:eastAsia="zh-CN"/>
        </w:rPr>
        <w:t>28</w:t>
      </w:r>
      <w:r>
        <w:rPr>
          <w:rFonts w:ascii="Times New Roman" w:hAnsi="Times New Roman"/>
          <w:color w:val="auto"/>
          <w:kern w:val="2"/>
        </w:rPr>
        <w:t xml:space="preserve">日        </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ascii="Times New Roman" w:hAnsi="Times New Roman"/>
          <w:color w:val="auto"/>
          <w:kern w:val="2"/>
        </w:rPr>
      </w:pPr>
    </w:p>
    <w:p>
      <w:pPr>
        <w:keepNext w:val="0"/>
        <w:keepLines w:val="0"/>
        <w:pageBreakBefore w:val="0"/>
        <w:kinsoku/>
        <w:wordWrap/>
        <w:overflowPunct w:val="0"/>
        <w:topLinePunct w:val="0"/>
        <w:autoSpaceDE/>
        <w:autoSpaceDN/>
        <w:bidi w:val="0"/>
        <w:adjustRightInd/>
        <w:snapToGrid/>
        <w:spacing w:before="0" w:after="0" w:line="240" w:lineRule="auto"/>
        <w:ind w:right="0" w:rightChars="0"/>
        <w:textAlignment w:val="auto"/>
        <w:outlineLvl w:val="9"/>
        <w:rPr>
          <w:rFonts w:ascii="Times New Roman" w:hAnsi="Times New Roman" w:eastAsia="方正黑体_GBK"/>
          <w:color w:val="auto"/>
          <w:kern w:val="2"/>
        </w:rPr>
      </w:pPr>
      <w:r>
        <w:rPr>
          <w:rFonts w:ascii="Times New Roman" w:hAnsi="Times New Roman"/>
          <w:color w:val="auto"/>
          <w:kern w:val="2"/>
        </w:rPr>
        <w:br w:type="page"/>
      </w:r>
      <w:r>
        <w:rPr>
          <w:rFonts w:ascii="Times New Roman" w:hAnsi="Times New Roman" w:eastAsia="方正黑体_GBK"/>
          <w:color w:val="auto"/>
          <w:kern w:val="2"/>
        </w:rPr>
        <w:t>附件1</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textAlignment w:val="auto"/>
        <w:outlineLvl w:val="9"/>
        <w:rPr>
          <w:rFonts w:ascii="Times New Roman" w:hAnsi="Times New Roman"/>
          <w:color w:val="auto"/>
        </w:rPr>
      </w:pPr>
    </w:p>
    <w:p>
      <w:pPr>
        <w:keepNext w:val="0"/>
        <w:keepLines w:val="0"/>
        <w:pageBreakBefore w:val="0"/>
        <w:kinsoku/>
        <w:wordWrap/>
        <w:overflowPunct w:val="0"/>
        <w:topLinePunct w:val="0"/>
        <w:autoSpaceDE/>
        <w:autoSpaceDN/>
        <w:bidi w:val="0"/>
        <w:adjustRightInd/>
        <w:snapToGrid/>
        <w:spacing w:before="0" w:after="0" w:line="580" w:lineRule="exact"/>
        <w:ind w:left="0" w:leftChars="0" w:right="0" w:rightChars="0"/>
        <w:jc w:val="center"/>
        <w:textAlignment w:val="auto"/>
        <w:outlineLvl w:val="9"/>
        <w:rPr>
          <w:rFonts w:ascii="Times New Roman" w:hAnsi="Times New Roman" w:eastAsia="方正小标宋_GBK"/>
          <w:color w:val="auto"/>
          <w:sz w:val="44"/>
          <w:szCs w:val="44"/>
        </w:rPr>
      </w:pPr>
      <w:r>
        <w:rPr>
          <w:rFonts w:ascii="Times New Roman" w:hAnsi="Times New Roman" w:eastAsia="方正小标宋_GBK"/>
          <w:color w:val="auto"/>
          <w:sz w:val="44"/>
          <w:szCs w:val="44"/>
        </w:rPr>
        <w:t>XX区县（自治县）</w:t>
      </w:r>
    </w:p>
    <w:p>
      <w:pPr>
        <w:keepNext w:val="0"/>
        <w:keepLines w:val="0"/>
        <w:pageBreakBefore w:val="0"/>
        <w:kinsoku/>
        <w:wordWrap/>
        <w:overflowPunct w:val="0"/>
        <w:topLinePunct w:val="0"/>
        <w:autoSpaceDE/>
        <w:autoSpaceDN/>
        <w:bidi w:val="0"/>
        <w:adjustRightInd/>
        <w:snapToGrid/>
        <w:spacing w:before="0" w:after="0" w:line="580" w:lineRule="exact"/>
        <w:ind w:left="0" w:leftChars="0" w:right="0" w:rightChars="0"/>
        <w:jc w:val="center"/>
        <w:textAlignment w:val="auto"/>
        <w:outlineLvl w:val="9"/>
        <w:rPr>
          <w:rFonts w:ascii="Times New Roman" w:hAnsi="Times New Roman" w:eastAsia="方正小标宋_GBK"/>
          <w:color w:val="auto"/>
          <w:sz w:val="44"/>
          <w:szCs w:val="44"/>
          <w:lang w:val="zh-CN"/>
        </w:rPr>
      </w:pPr>
      <w:r>
        <w:rPr>
          <w:rFonts w:ascii="Times New Roman" w:hAnsi="Times New Roman" w:eastAsia="方正小标宋_GBK"/>
          <w:color w:val="auto"/>
          <w:sz w:val="44"/>
          <w:szCs w:val="44"/>
        </w:rPr>
        <w:t>2023年度</w:t>
      </w:r>
      <w:r>
        <w:rPr>
          <w:rFonts w:ascii="Times New Roman" w:hAnsi="Times New Roman" w:eastAsia="方正小标宋_GBK"/>
          <w:color w:val="auto"/>
          <w:sz w:val="44"/>
          <w:szCs w:val="44"/>
          <w:lang w:val="zh-CN"/>
        </w:rPr>
        <w:t>优质粮食工程总体建设方案</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outlineLvl w:val="9"/>
        <w:rPr>
          <w:rFonts w:ascii="Times New Roman" w:hAnsi="Times New Roman" w:eastAsia="方正楷体_GBK"/>
          <w:color w:val="auto"/>
        </w:rPr>
      </w:pPr>
      <w:r>
        <w:rPr>
          <w:rFonts w:ascii="Times New Roman" w:hAnsi="Times New Roman" w:eastAsia="方正楷体_GBK"/>
          <w:color w:val="auto"/>
          <w:lang w:val="zh-CN"/>
        </w:rPr>
        <w:t>（参考模板）</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textAlignment w:val="auto"/>
        <w:outlineLvl w:val="9"/>
        <w:rPr>
          <w:rFonts w:hint="eastAsia" w:ascii="Times New Roman" w:hAnsi="Times New Roman" w:cs="方正仿宋_GBK"/>
          <w:color w:val="auto"/>
          <w:sz w:val="32"/>
          <w:szCs w:val="32"/>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仿宋_GBK" w:cs="方正仿宋_GBK"/>
          <w:color w:val="auto"/>
          <w:lang w:val="zh-CN"/>
        </w:rPr>
      </w:pPr>
      <w:r>
        <w:rPr>
          <w:rFonts w:hint="eastAsia" w:ascii="Times New Roman" w:hAnsi="Times New Roman" w:cs="方正仿宋_GBK"/>
          <w:color w:val="auto"/>
          <w:kern w:val="2"/>
        </w:rPr>
        <w:t>按照</w:t>
      </w:r>
      <w:r>
        <w:rPr>
          <w:rFonts w:hint="eastAsia" w:ascii="Times New Roman" w:hAnsi="Times New Roman" w:cs="方正仿宋_GBK"/>
          <w:color w:val="auto"/>
          <w:kern w:val="2"/>
          <w:lang w:bidi="ar"/>
        </w:rPr>
        <w:t>重庆市粮食局</w:t>
      </w:r>
      <w:r>
        <w:rPr>
          <w:rFonts w:hint="eastAsia" w:ascii="Times New Roman" w:hAnsi="Times New Roman" w:cs="方正仿宋_GBK"/>
          <w:color w:val="auto"/>
          <w:kern w:val="2"/>
          <w:lang w:eastAsia="zh-CN" w:bidi="ar"/>
        </w:rPr>
        <w:t>和</w:t>
      </w:r>
      <w:r>
        <w:rPr>
          <w:rFonts w:hint="eastAsia" w:ascii="Times New Roman" w:hAnsi="Times New Roman" w:cs="方正仿宋_GBK"/>
          <w:color w:val="auto"/>
          <w:kern w:val="2"/>
          <w:lang w:bidi="ar"/>
        </w:rPr>
        <w:t>重庆市财政局</w:t>
      </w:r>
      <w:r>
        <w:rPr>
          <w:rFonts w:hint="eastAsia" w:ascii="Times New Roman" w:hAnsi="Times New Roman" w:cs="方正仿宋_GBK"/>
          <w:color w:val="auto"/>
          <w:kern w:val="2"/>
          <w:lang w:eastAsia="zh-CN" w:bidi="ar"/>
        </w:rPr>
        <w:t>联合</w:t>
      </w:r>
      <w:r>
        <w:rPr>
          <w:rFonts w:hint="eastAsia" w:ascii="Times New Roman" w:hAnsi="Times New Roman" w:cs="方正仿宋_GBK"/>
          <w:color w:val="auto"/>
          <w:kern w:val="2"/>
          <w:lang w:bidi="ar"/>
        </w:rPr>
        <w:t>印发</w:t>
      </w:r>
      <w:r>
        <w:rPr>
          <w:rFonts w:hint="eastAsia" w:ascii="Times New Roman" w:hAnsi="Times New Roman" w:cs="方正仿宋_GBK"/>
          <w:color w:val="auto"/>
          <w:kern w:val="2"/>
          <w:lang w:eastAsia="zh-CN" w:bidi="ar"/>
        </w:rPr>
        <w:t>的</w:t>
      </w:r>
      <w:r>
        <w:rPr>
          <w:rFonts w:hint="eastAsia" w:cs="方正仿宋_GBK"/>
          <w:color w:val="auto"/>
          <w:kern w:val="2"/>
          <w:lang w:eastAsia="zh-CN" w:bidi="ar"/>
        </w:rPr>
        <w:t>《</w:t>
      </w:r>
      <w:r>
        <w:rPr>
          <w:rFonts w:hint="eastAsia" w:ascii="Times New Roman" w:hAnsi="Times New Roman" w:cs="方正仿宋_GBK"/>
          <w:color w:val="auto"/>
          <w:kern w:val="2"/>
          <w:lang w:bidi="ar"/>
        </w:rPr>
        <w:t>重庆市深入推进优质粮食工程实施方案的通知》（渝粮规范〔2022〕4号）要求</w:t>
      </w:r>
      <w:r>
        <w:rPr>
          <w:rFonts w:hint="eastAsia" w:ascii="Times New Roman" w:hAnsi="Times New Roman" w:cs="方正仿宋_GBK"/>
          <w:color w:val="auto"/>
          <w:kern w:val="2"/>
        </w:rPr>
        <w:t>，制定本方案。</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lang w:val="zh-CN"/>
        </w:rPr>
      </w:pPr>
      <w:r>
        <w:rPr>
          <w:rFonts w:hint="eastAsia" w:ascii="Times New Roman" w:hAnsi="Times New Roman" w:eastAsia="方正黑体_GBK" w:cs="方正黑体_GBK"/>
          <w:color w:val="auto"/>
          <w:lang w:val="zh-CN"/>
        </w:rPr>
        <w:t>一、产业现状</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XX区县（自治县县）粮食流通基本情况简介</w:t>
      </w:r>
      <w:r>
        <w:rPr>
          <w:rFonts w:hint="eastAsia" w:ascii="Times New Roman" w:hAnsi="Times New Roman" w:cs="方正仿宋_GBK"/>
          <w:color w:val="auto"/>
          <w:kern w:val="2"/>
          <w:lang w:val="zh-CN"/>
        </w:rPr>
        <w:t>（根据实际实施项目类别选报）。</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（一）粮食绿色仓储设施现状</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（二）粮食品种品质品牌建设现状</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（三）粮食应急保障能力发展现状</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（四）粮食机械装备研发与制造现状</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（五）粮食质量追溯体系现状</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kern w:val="2"/>
        </w:rPr>
        <w:t>（六）粮食节约减损健康消费现状</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lang w:val="zh-CN"/>
        </w:rPr>
      </w:pPr>
      <w:r>
        <w:rPr>
          <w:rFonts w:hint="eastAsia" w:ascii="Times New Roman" w:hAnsi="Times New Roman" w:eastAsia="方正黑体_GBK" w:cs="方正黑体_GBK"/>
          <w:color w:val="auto"/>
          <w:lang w:val="zh-CN"/>
        </w:rPr>
        <w:t>二、项目情况</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val="zh-CN"/>
        </w:rPr>
      </w:pPr>
      <w:r>
        <w:rPr>
          <w:rFonts w:hint="eastAsia" w:ascii="Times New Roman" w:hAnsi="Times New Roman" w:cs="方正仿宋_GBK"/>
          <w:color w:val="auto"/>
        </w:rPr>
        <w:t>（一）项目总体概述，包括申报项目的总体规划、建设目标和建成后达到能力和水平，要有量化指标</w:t>
      </w:r>
      <w:r>
        <w:rPr>
          <w:rFonts w:hint="eastAsia" w:ascii="Times New Roman" w:hAnsi="Times New Roman" w:cs="方正仿宋_GBK"/>
          <w:color w:val="auto"/>
          <w:kern w:val="2"/>
          <w:lang w:val="zh-CN"/>
        </w:rPr>
        <w:t>（根据实际实施项目类别选报）。</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val="zh-CN"/>
        </w:rPr>
      </w:pPr>
      <w:r>
        <w:rPr>
          <w:rFonts w:hint="eastAsia" w:ascii="Times New Roman" w:hAnsi="Times New Roman" w:cs="方正仿宋_GBK"/>
          <w:color w:val="auto"/>
        </w:rPr>
        <w:t>（二）申报项目评审意见，可组织部门联合评审、专家评审或第三方机构评审。</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lang w:val="zh-CN"/>
        </w:rPr>
      </w:pPr>
      <w:r>
        <w:rPr>
          <w:rFonts w:hint="eastAsia" w:ascii="Times New Roman" w:hAnsi="Times New Roman" w:eastAsia="方正黑体_GBK" w:cs="方正黑体_GBK"/>
          <w:color w:val="auto"/>
          <w:lang w:val="zh-CN"/>
        </w:rPr>
        <w:t>三、资金情况</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包括项目投资总额，“六大提升行动”分项投资金额，拟争取财政资金、自筹金额及到位情况等。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lang w:val="zh-CN"/>
        </w:rPr>
      </w:pPr>
      <w:r>
        <w:rPr>
          <w:rFonts w:hint="eastAsia" w:ascii="Times New Roman" w:hAnsi="Times New Roman" w:eastAsia="方正黑体_GBK" w:cs="方正黑体_GBK"/>
          <w:color w:val="auto"/>
          <w:lang w:val="zh-CN"/>
        </w:rPr>
        <w:t>四、进度安排</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包括项目建设总体安排，进度安排，预计完成时限等。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lang w:val="zh-CN"/>
        </w:rPr>
      </w:pPr>
      <w:r>
        <w:rPr>
          <w:rFonts w:hint="eastAsia" w:ascii="Times New Roman" w:hAnsi="Times New Roman" w:eastAsia="方正黑体_GBK" w:cs="方正黑体_GBK"/>
          <w:color w:val="auto"/>
          <w:lang w:val="zh-CN"/>
        </w:rPr>
        <w:t>五、组织保障</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val="zh-CN"/>
        </w:rPr>
      </w:pPr>
      <w:r>
        <w:rPr>
          <w:rFonts w:hint="eastAsia" w:ascii="Times New Roman" w:hAnsi="Times New Roman" w:eastAsia="方正仿宋_GBK" w:cs="方正仿宋_GBK"/>
          <w:color w:val="auto"/>
          <w:kern w:val="2"/>
        </w:rPr>
        <w:t>（一）</w:t>
      </w:r>
      <w:r>
        <w:rPr>
          <w:rFonts w:hint="eastAsia" w:ascii="Times New Roman" w:hAnsi="Times New Roman" w:eastAsia="方正仿宋_GBK" w:cs="方正仿宋_GBK"/>
          <w:color w:val="auto"/>
          <w:kern w:val="2"/>
          <w:lang w:val="zh-CN"/>
        </w:rPr>
        <w:t>加强组织领导。</w:t>
      </w:r>
      <w:r>
        <w:rPr>
          <w:rFonts w:hint="eastAsia" w:ascii="Times New Roman" w:hAnsi="Times New Roman" w:cs="方正仿宋_GBK"/>
          <w:color w:val="auto"/>
          <w:kern w:val="2"/>
        </w:rPr>
        <w:t>主要</w:t>
      </w:r>
      <w:r>
        <w:rPr>
          <w:rFonts w:hint="eastAsia" w:ascii="Times New Roman" w:hAnsi="Times New Roman" w:cs="方正仿宋_GBK"/>
          <w:color w:val="auto"/>
          <w:kern w:val="2"/>
          <w:lang w:val="zh-CN"/>
        </w:rPr>
        <w:t>包括各</w:t>
      </w:r>
      <w:r>
        <w:rPr>
          <w:rFonts w:hint="eastAsia" w:ascii="Times New Roman" w:hAnsi="Times New Roman" w:cs="方正仿宋_GBK"/>
          <w:color w:val="auto"/>
          <w:kern w:val="2"/>
        </w:rPr>
        <w:t>区县（自治县）粮食和财政部门联合</w:t>
      </w:r>
      <w:r>
        <w:rPr>
          <w:rFonts w:hint="eastAsia" w:ascii="Times New Roman" w:hAnsi="Times New Roman" w:cs="方正仿宋_GBK"/>
          <w:color w:val="auto"/>
          <w:kern w:val="2"/>
          <w:lang w:val="zh-CN"/>
        </w:rPr>
        <w:t>成立的</w:t>
      </w:r>
      <w:r>
        <w:rPr>
          <w:rFonts w:hint="eastAsia" w:ascii="Times New Roman" w:hAnsi="Times New Roman" w:cs="方正仿宋_GBK"/>
          <w:color w:val="auto"/>
          <w:kern w:val="2"/>
        </w:rPr>
        <w:t>优质粮食工程项目建设工作专班，岗位责任分工，</w:t>
      </w:r>
      <w:r>
        <w:rPr>
          <w:rFonts w:hint="eastAsia" w:ascii="Times New Roman" w:hAnsi="Times New Roman" w:cs="方正仿宋_GBK"/>
          <w:color w:val="auto"/>
          <w:kern w:val="2"/>
          <w:lang w:val="zh-CN"/>
        </w:rPr>
        <w:t>负责人和工作人员姓名、职务及联系方式等。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仿宋_GBK" w:cs="方正仿宋_GBK"/>
          <w:color w:val="auto"/>
          <w:kern w:val="2"/>
        </w:rPr>
      </w:pPr>
      <w:r>
        <w:rPr>
          <w:rFonts w:hint="eastAsia" w:ascii="Times New Roman" w:hAnsi="Times New Roman" w:eastAsia="方正仿宋_GBK" w:cs="方正仿宋_GBK"/>
          <w:color w:val="auto"/>
          <w:kern w:val="2"/>
        </w:rPr>
        <w:t>（二）</w:t>
      </w:r>
      <w:r>
        <w:rPr>
          <w:rFonts w:hint="eastAsia" w:ascii="Times New Roman" w:hAnsi="Times New Roman" w:eastAsia="方正仿宋_GBK" w:cs="方正仿宋_GBK"/>
          <w:color w:val="auto"/>
          <w:kern w:val="2"/>
          <w:lang w:val="zh-CN"/>
        </w:rPr>
        <w:t>明确推进措施。</w:t>
      </w:r>
      <w:r>
        <w:rPr>
          <w:rFonts w:hint="eastAsia" w:ascii="Times New Roman" w:hAnsi="Times New Roman" w:cs="方正仿宋_GBK"/>
          <w:color w:val="auto"/>
          <w:kern w:val="2"/>
        </w:rPr>
        <w:t>主要包括推进优质粮食工程具体措施等。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仿宋_GBK" w:cs="方正仿宋_GBK"/>
          <w:color w:val="auto"/>
          <w:kern w:val="2"/>
        </w:rPr>
      </w:pPr>
      <w:r>
        <w:rPr>
          <w:rFonts w:hint="eastAsia" w:ascii="Times New Roman" w:hAnsi="Times New Roman" w:eastAsia="方正仿宋_GBK" w:cs="方正仿宋_GBK"/>
          <w:color w:val="auto"/>
          <w:kern w:val="2"/>
        </w:rPr>
        <w:t>（三）</w:t>
      </w:r>
      <w:r>
        <w:rPr>
          <w:rFonts w:hint="eastAsia" w:ascii="Times New Roman" w:hAnsi="Times New Roman" w:eastAsia="方正仿宋_GBK" w:cs="方正仿宋_GBK"/>
          <w:color w:val="auto"/>
          <w:kern w:val="2"/>
          <w:lang w:val="zh-CN"/>
        </w:rPr>
        <w:t>加强项目管理。</w:t>
      </w:r>
      <w:r>
        <w:rPr>
          <w:rFonts w:hint="eastAsia" w:ascii="Times New Roman" w:hAnsi="Times New Roman" w:cs="方正仿宋_GBK"/>
          <w:color w:val="auto"/>
          <w:kern w:val="2"/>
        </w:rPr>
        <w:t>主要包括优质粮食工程项目实施过程中项目管理方式等。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ascii="Times New Roman" w:hAnsi="Times New Roman"/>
          <w:color w:val="auto"/>
          <w:kern w:val="2"/>
          <w:lang w:val="zh-CN"/>
        </w:rPr>
      </w:pPr>
      <w:r>
        <w:rPr>
          <w:rFonts w:hint="eastAsia" w:ascii="Times New Roman" w:hAnsi="Times New Roman" w:eastAsia="方正仿宋_GBK" w:cs="方正仿宋_GBK"/>
          <w:color w:val="auto"/>
          <w:kern w:val="2"/>
        </w:rPr>
        <w:t>（四）</w:t>
      </w:r>
      <w:r>
        <w:rPr>
          <w:rFonts w:hint="eastAsia" w:ascii="Times New Roman" w:hAnsi="Times New Roman" w:eastAsia="方正仿宋_GBK" w:cs="方正仿宋_GBK"/>
          <w:color w:val="auto"/>
          <w:kern w:val="2"/>
          <w:lang w:val="zh-CN"/>
        </w:rPr>
        <w:t>严格考核监督。</w:t>
      </w:r>
      <w:r>
        <w:rPr>
          <w:rFonts w:hint="eastAsia" w:ascii="Times New Roman" w:hAnsi="Times New Roman" w:cs="方正仿宋_GBK"/>
          <w:color w:val="auto"/>
          <w:kern w:val="2"/>
          <w:lang w:val="zh-CN"/>
        </w:rPr>
        <w:t>主要包括将深入推进优质粮食工程纳入粮食安全责任制考核重点内容，强化责任落实，加强项目审核、调度、督导、监管和绩效评价等</w:t>
      </w:r>
      <w:r>
        <w:rPr>
          <w:rFonts w:ascii="Times New Roman" w:hAnsi="Times New Roman"/>
          <w:color w:val="auto"/>
          <w:kern w:val="2"/>
          <w:lang w:val="zh-CN"/>
        </w:rPr>
        <w:t>。</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ascii="Times New Roman" w:hAnsi="Times New Roman"/>
          <w:color w:val="auto"/>
          <w:kern w:val="2"/>
          <w:lang w:val="zh-CN"/>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ascii="Times New Roman" w:hAnsi="Times New Roman"/>
          <w:color w:val="auto"/>
          <w:kern w:val="2"/>
          <w:lang w:val="zh-CN"/>
        </w:rPr>
        <w:sectPr>
          <w:footerReference r:id="rId3" w:type="default"/>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textAlignment w:val="auto"/>
        <w:outlineLvl w:val="9"/>
        <w:rPr>
          <w:rFonts w:ascii="Times New Roman" w:hAnsi="Times New Roman"/>
          <w:color w:val="auto"/>
          <w:kern w:val="2"/>
        </w:rPr>
      </w:pPr>
      <w:r>
        <w:rPr>
          <w:rFonts w:ascii="Times New Roman" w:hAnsi="Times New Roman" w:eastAsia="方正黑体_GBK"/>
          <w:color w:val="auto"/>
          <w:kern w:val="2"/>
        </w:rPr>
        <w:t>附件</w:t>
      </w:r>
      <w:r>
        <w:rPr>
          <w:rFonts w:ascii="Times New Roman" w:hAnsi="Times New Roman"/>
          <w:color w:val="auto"/>
          <w:kern w:val="2"/>
        </w:rPr>
        <w:t>2</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textAlignment w:val="auto"/>
        <w:outlineLvl w:val="9"/>
        <w:rPr>
          <w:rFonts w:ascii="Times New Roman" w:hAnsi="Times New Roman" w:eastAsia="方正小标宋简体"/>
          <w:color w:val="auto"/>
          <w:kern w:val="2"/>
        </w:rPr>
      </w:pPr>
    </w:p>
    <w:p>
      <w:pPr>
        <w:keepNext w:val="0"/>
        <w:keepLines w:val="0"/>
        <w:pageBreakBefore w:val="0"/>
        <w:kinsoku/>
        <w:wordWrap/>
        <w:overflowPunct w:val="0"/>
        <w:topLinePunct w:val="0"/>
        <w:autoSpaceDE/>
        <w:autoSpaceDN/>
        <w:bidi w:val="0"/>
        <w:adjustRightInd/>
        <w:snapToGrid/>
        <w:spacing w:before="0" w:after="0" w:line="580" w:lineRule="exact"/>
        <w:ind w:left="0" w:leftChars="0" w:right="0" w:rightChars="0" w:firstLine="0" w:firstLineChars="0"/>
        <w:jc w:val="center"/>
        <w:textAlignment w:val="auto"/>
        <w:outlineLvl w:val="9"/>
        <w:rPr>
          <w:rFonts w:ascii="Times New Roman" w:hAnsi="Times New Roman" w:eastAsia="方正小标宋_GBK"/>
          <w:color w:val="auto"/>
          <w:kern w:val="2"/>
          <w:sz w:val="44"/>
          <w:szCs w:val="44"/>
        </w:rPr>
      </w:pPr>
      <w:r>
        <w:rPr>
          <w:rFonts w:ascii="Times New Roman" w:hAnsi="Times New Roman" w:eastAsia="方正小标宋_GBK"/>
          <w:color w:val="auto"/>
          <w:kern w:val="2"/>
          <w:sz w:val="44"/>
          <w:szCs w:val="44"/>
        </w:rPr>
        <w:t>2023年度优质</w:t>
      </w:r>
      <w:r>
        <w:rPr>
          <w:rFonts w:ascii="Times New Roman" w:hAnsi="Times New Roman" w:eastAsia="方正小标宋_GBK"/>
          <w:color w:val="auto"/>
          <w:kern w:val="0"/>
          <w:sz w:val="44"/>
          <w:szCs w:val="44"/>
          <w:lang w:val="zh-CN"/>
        </w:rPr>
        <w:t>粮食</w:t>
      </w:r>
      <w:r>
        <w:rPr>
          <w:rFonts w:ascii="Times New Roman" w:hAnsi="Times New Roman" w:eastAsia="方正小标宋_GBK"/>
          <w:color w:val="auto"/>
          <w:kern w:val="2"/>
          <w:sz w:val="44"/>
          <w:szCs w:val="44"/>
        </w:rPr>
        <w:t>工程项目申报汇总表</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outlineLvl w:val="9"/>
        <w:rPr>
          <w:rFonts w:ascii="Times New Roman" w:hAnsi="Times New Roman" w:eastAsia="方正楷体_GBK"/>
          <w:color w:val="auto"/>
          <w:lang w:val="zh-CN"/>
        </w:rPr>
      </w:pPr>
      <w:r>
        <w:rPr>
          <w:rFonts w:ascii="Times New Roman" w:hAnsi="Times New Roman" w:eastAsia="方正楷体_GBK"/>
          <w:color w:val="auto"/>
          <w:lang w:val="zh-CN"/>
        </w:rPr>
        <w:t>（样表）</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ascii="Times New Roman" w:hAnsi="Times New Roman"/>
          <w:color w:val="auto"/>
          <w:kern w:val="2"/>
        </w:rPr>
      </w:pPr>
      <w:r>
        <w:rPr>
          <w:rFonts w:ascii="Times New Roman" w:hAnsi="Times New Roman"/>
          <w:color w:val="auto"/>
          <w:kern w:val="2"/>
          <w:sz w:val="28"/>
          <w:szCs w:val="28"/>
        </w:rPr>
        <w:t xml:space="preserve">填报单位（盖章）：   </w:t>
      </w:r>
    </w:p>
    <w:tbl>
      <w:tblPr>
        <w:tblStyle w:val="6"/>
        <w:tblW w:w="14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846"/>
        <w:gridCol w:w="1002"/>
        <w:gridCol w:w="1511"/>
        <w:gridCol w:w="1512"/>
        <w:gridCol w:w="1516"/>
        <w:gridCol w:w="1871"/>
        <w:gridCol w:w="1512"/>
        <w:gridCol w:w="1175"/>
        <w:gridCol w:w="1175"/>
        <w:gridCol w:w="1207"/>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84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序号</w:t>
            </w:r>
          </w:p>
        </w:tc>
        <w:tc>
          <w:tcPr>
            <w:tcW w:w="100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区县</w:t>
            </w:r>
          </w:p>
        </w:tc>
        <w:tc>
          <w:tcPr>
            <w:tcW w:w="151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项目名称</w:t>
            </w: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建设单位</w:t>
            </w:r>
          </w:p>
        </w:tc>
        <w:tc>
          <w:tcPr>
            <w:tcW w:w="151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单位性质</w:t>
            </w:r>
          </w:p>
        </w:tc>
        <w:tc>
          <w:tcPr>
            <w:tcW w:w="187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hint="eastAsia" w:ascii="Times New Roman" w:hAnsi="Times New Roman" w:eastAsia="方正黑体_GBK" w:cs="方正黑体_GBK"/>
                <w:color w:val="auto"/>
                <w:sz w:val="24"/>
                <w:szCs w:val="24"/>
              </w:rPr>
              <w:t>“</w:t>
            </w:r>
            <w:r>
              <w:rPr>
                <w:rFonts w:ascii="Times New Roman" w:hAnsi="Times New Roman" w:eastAsia="方正黑体_GBK"/>
                <w:color w:val="auto"/>
                <w:sz w:val="24"/>
                <w:szCs w:val="24"/>
              </w:rPr>
              <w:t>六大提升行动</w:t>
            </w:r>
            <w:r>
              <w:rPr>
                <w:rFonts w:hint="eastAsia" w:ascii="Times New Roman" w:hAnsi="Times New Roman" w:eastAsia="方正黑体_GBK" w:cs="方正黑体_GBK"/>
                <w:color w:val="auto"/>
                <w:sz w:val="24"/>
                <w:szCs w:val="24"/>
              </w:rPr>
              <w:t>”</w:t>
            </w:r>
            <w:r>
              <w:rPr>
                <w:rFonts w:ascii="Times New Roman" w:hAnsi="Times New Roman" w:eastAsia="方正黑体_GBK"/>
                <w:color w:val="auto"/>
                <w:sz w:val="24"/>
                <w:szCs w:val="24"/>
              </w:rPr>
              <w:t>类别</w:t>
            </w: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主要建</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设内容</w:t>
            </w: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总投资</w:t>
            </w: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项目是否开工</w:t>
            </w:r>
          </w:p>
        </w:tc>
        <w:tc>
          <w:tcPr>
            <w:tcW w:w="1207"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已完成</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投资额</w:t>
            </w:r>
          </w:p>
        </w:tc>
        <w:tc>
          <w:tcPr>
            <w:tcW w:w="77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80" w:hRule="atLeast"/>
          <w:jc w:val="center"/>
        </w:trPr>
        <w:tc>
          <w:tcPr>
            <w:tcW w:w="84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1</w:t>
            </w:r>
          </w:p>
        </w:tc>
        <w:tc>
          <w:tcPr>
            <w:tcW w:w="100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87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207"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77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80" w:hRule="atLeast"/>
          <w:jc w:val="center"/>
        </w:trPr>
        <w:tc>
          <w:tcPr>
            <w:tcW w:w="84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2</w:t>
            </w:r>
          </w:p>
        </w:tc>
        <w:tc>
          <w:tcPr>
            <w:tcW w:w="100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87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207"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77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80" w:hRule="atLeast"/>
          <w:jc w:val="center"/>
        </w:trPr>
        <w:tc>
          <w:tcPr>
            <w:tcW w:w="84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3</w:t>
            </w:r>
          </w:p>
        </w:tc>
        <w:tc>
          <w:tcPr>
            <w:tcW w:w="100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87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207"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77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80" w:hRule="atLeast"/>
          <w:jc w:val="center"/>
        </w:trPr>
        <w:tc>
          <w:tcPr>
            <w:tcW w:w="84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4</w:t>
            </w:r>
          </w:p>
        </w:tc>
        <w:tc>
          <w:tcPr>
            <w:tcW w:w="100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87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207"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77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80" w:hRule="atLeast"/>
          <w:jc w:val="center"/>
        </w:trPr>
        <w:tc>
          <w:tcPr>
            <w:tcW w:w="84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r>
              <w:rPr>
                <w:rFonts w:ascii="Times New Roman" w:hAnsi="Times New Roman" w:eastAsia="方正黑体_GBK"/>
                <w:color w:val="auto"/>
                <w:sz w:val="24"/>
                <w:szCs w:val="24"/>
              </w:rPr>
              <w:t>5</w:t>
            </w:r>
          </w:p>
        </w:tc>
        <w:tc>
          <w:tcPr>
            <w:tcW w:w="100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871"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512"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175"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1207"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c>
          <w:tcPr>
            <w:tcW w:w="776" w:type="dxa"/>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ascii="Times New Roman" w:hAnsi="Times New Roman" w:eastAsia="方正黑体_GBK"/>
                <w:color w:val="auto"/>
                <w:sz w:val="24"/>
                <w:szCs w:val="24"/>
              </w:rPr>
            </w:pPr>
          </w:p>
        </w:tc>
      </w:tr>
    </w:tbl>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textAlignment w:val="auto"/>
        <w:outlineLvl w:val="9"/>
        <w:rPr>
          <w:rFonts w:ascii="Times New Roman" w:hAnsi="Times New Roman"/>
          <w:color w:val="auto"/>
          <w:kern w:val="2"/>
          <w:sz w:val="32"/>
          <w:szCs w:val="32"/>
        </w:rPr>
      </w:pP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textAlignment w:val="auto"/>
        <w:outlineLvl w:val="9"/>
        <w:rPr>
          <w:rFonts w:ascii="Times New Roman" w:hAnsi="Times New Roman"/>
          <w:color w:val="auto"/>
          <w:kern w:val="2"/>
          <w:sz w:val="28"/>
          <w:szCs w:val="28"/>
        </w:rPr>
        <w:sectPr>
          <w:pgSz w:w="16838" w:h="11906" w:orient="landscape"/>
          <w:pgMar w:top="1531" w:right="2098" w:bottom="1531" w:left="1984" w:header="851" w:footer="1417" w:gutter="0"/>
          <w:pgNumType w:fmt="decimal"/>
          <w:cols w:space="0" w:num="1"/>
          <w:rtlGutter w:val="0"/>
          <w:docGrid w:type="linesAndChars" w:linePitch="579" w:charSpace="-849"/>
        </w:sectPr>
      </w:pPr>
      <w:r>
        <w:rPr>
          <w:rFonts w:ascii="Times New Roman" w:hAnsi="Times New Roman"/>
          <w:color w:val="auto"/>
          <w:kern w:val="2"/>
          <w:sz w:val="28"/>
          <w:szCs w:val="28"/>
        </w:rPr>
        <w:t>主要领导（签字）：          填报人（签字）：             联系电话：          填报日期：</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ascii="Times New Roman" w:hAnsi="Times New Roman" w:eastAsia="黑体"/>
          <w:color w:val="auto"/>
          <w:kern w:val="2"/>
        </w:rPr>
      </w:pPr>
      <w:r>
        <w:rPr>
          <w:rFonts w:ascii="Times New Roman" w:hAnsi="Times New Roman" w:eastAsia="方正黑体_GBK"/>
          <w:color w:val="auto"/>
          <w:kern w:val="2"/>
        </w:rPr>
        <w:t>附件3</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textAlignment w:val="auto"/>
        <w:outlineLvl w:val="9"/>
        <w:rPr>
          <w:rFonts w:ascii="Times New Roman" w:hAnsi="Times New Roman"/>
          <w:color w:val="auto"/>
        </w:rPr>
      </w:pPr>
    </w:p>
    <w:p>
      <w:pPr>
        <w:keepNext w:val="0"/>
        <w:keepLines w:val="0"/>
        <w:pageBreakBefore w:val="0"/>
        <w:kinsoku/>
        <w:wordWrap/>
        <w:overflowPunct w:val="0"/>
        <w:topLinePunct w:val="0"/>
        <w:autoSpaceDE/>
        <w:autoSpaceDN/>
        <w:bidi w:val="0"/>
        <w:adjustRightInd/>
        <w:snapToGrid/>
        <w:spacing w:before="0" w:after="0" w:line="580" w:lineRule="exact"/>
        <w:ind w:left="0" w:leftChars="0" w:right="0" w:rightChars="0"/>
        <w:jc w:val="center"/>
        <w:textAlignment w:val="auto"/>
        <w:outlineLvl w:val="9"/>
        <w:rPr>
          <w:rFonts w:ascii="Times New Roman" w:hAnsi="Times New Roman" w:eastAsia="方正小标宋_GBK"/>
          <w:color w:val="auto"/>
          <w:sz w:val="44"/>
          <w:szCs w:val="44"/>
        </w:rPr>
      </w:pPr>
      <w:r>
        <w:rPr>
          <w:rFonts w:ascii="Times New Roman" w:hAnsi="Times New Roman" w:eastAsia="方正小标宋_GBK"/>
          <w:color w:val="auto"/>
          <w:sz w:val="44"/>
          <w:szCs w:val="44"/>
        </w:rPr>
        <w:t>XXX（</w:t>
      </w:r>
      <w:r>
        <w:rPr>
          <w:rFonts w:ascii="Times New Roman" w:hAnsi="Times New Roman" w:eastAsia="方正小标宋_GBK"/>
          <w:color w:val="auto"/>
          <w:sz w:val="44"/>
          <w:szCs w:val="44"/>
          <w:lang w:val="zh-CN"/>
        </w:rPr>
        <w:t>建设</w:t>
      </w:r>
      <w:r>
        <w:rPr>
          <w:rFonts w:ascii="Times New Roman" w:hAnsi="Times New Roman" w:eastAsia="方正小标宋_GBK"/>
          <w:color w:val="auto"/>
          <w:sz w:val="44"/>
          <w:szCs w:val="44"/>
        </w:rPr>
        <w:t>主体名称）</w:t>
      </w:r>
    </w:p>
    <w:p>
      <w:pPr>
        <w:keepNext w:val="0"/>
        <w:keepLines w:val="0"/>
        <w:pageBreakBefore w:val="0"/>
        <w:kinsoku/>
        <w:wordWrap/>
        <w:overflowPunct w:val="0"/>
        <w:topLinePunct w:val="0"/>
        <w:autoSpaceDE/>
        <w:autoSpaceDN/>
        <w:bidi w:val="0"/>
        <w:adjustRightInd/>
        <w:snapToGrid/>
        <w:spacing w:before="0" w:after="0" w:line="580" w:lineRule="exact"/>
        <w:ind w:left="0" w:leftChars="0" w:right="0" w:rightChars="0"/>
        <w:jc w:val="center"/>
        <w:textAlignment w:val="auto"/>
        <w:outlineLvl w:val="9"/>
        <w:rPr>
          <w:rFonts w:ascii="Times New Roman" w:hAnsi="Times New Roman" w:eastAsia="方正小标宋_GBK"/>
          <w:color w:val="auto"/>
          <w:sz w:val="44"/>
          <w:szCs w:val="44"/>
        </w:rPr>
      </w:pPr>
      <w:r>
        <w:rPr>
          <w:rFonts w:ascii="Times New Roman" w:hAnsi="Times New Roman" w:eastAsia="方正小标宋_GBK"/>
          <w:color w:val="auto"/>
          <w:sz w:val="44"/>
          <w:szCs w:val="44"/>
        </w:rPr>
        <w:t>2023年度优质粮食工程项目申报书</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jc w:val="center"/>
        <w:textAlignment w:val="auto"/>
        <w:outlineLvl w:val="9"/>
        <w:rPr>
          <w:rFonts w:ascii="Times New Roman" w:hAnsi="Times New Roman" w:eastAsia="方正楷体_GBK"/>
          <w:color w:val="auto"/>
          <w:sz w:val="44"/>
          <w:szCs w:val="44"/>
        </w:rPr>
      </w:pPr>
      <w:r>
        <w:rPr>
          <w:rFonts w:ascii="Times New Roman" w:hAnsi="Times New Roman" w:eastAsia="方正楷体_GBK"/>
          <w:color w:val="auto"/>
          <w:lang w:val="zh-CN"/>
        </w:rPr>
        <w:t>（参考模板）</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textAlignment w:val="auto"/>
        <w:outlineLvl w:val="9"/>
        <w:rPr>
          <w:rFonts w:ascii="Times New Roman" w:hAnsi="Times New Roman"/>
          <w:color w:val="auto"/>
          <w:lang w:val="zh-CN"/>
        </w:rPr>
      </w:pPr>
    </w:p>
    <w:p>
      <w:pPr>
        <w:keepNext w:val="0"/>
        <w:keepLines w:val="0"/>
        <w:pageBreakBefore w:val="0"/>
        <w:numPr>
          <w:ilvl w:val="-1"/>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lang w:val="zh-CN"/>
        </w:rPr>
      </w:pPr>
      <w:r>
        <w:rPr>
          <w:rFonts w:hint="eastAsia" w:ascii="Times New Roman" w:hAnsi="Times New Roman" w:eastAsia="方正黑体_GBK" w:cs="方正黑体_GBK"/>
          <w:color w:val="auto"/>
          <w:kern w:val="2"/>
          <w:lang w:val="zh-CN"/>
        </w:rPr>
        <w:t>一、企业基本情况。</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包括项目业主名称、性质、</w:t>
      </w:r>
      <w:r>
        <w:rPr>
          <w:rFonts w:hint="eastAsia" w:ascii="Times New Roman" w:hAnsi="Times New Roman" w:cs="方正仿宋_GBK"/>
          <w:color w:val="auto"/>
          <w:lang w:val="zh-CN"/>
        </w:rPr>
        <w:t>资产规模，近三年经营及财务状况，现有生产经营设施、经营能力总体情况，</w:t>
      </w:r>
      <w:r>
        <w:rPr>
          <w:rFonts w:hint="eastAsia" w:ascii="Times New Roman" w:hAnsi="Times New Roman" w:cs="方正仿宋_GBK"/>
          <w:color w:val="auto"/>
        </w:rPr>
        <w:t>企业获奖情况、荣誉情况、做出的社会贡献、</w:t>
      </w:r>
      <w:r>
        <w:rPr>
          <w:rFonts w:hint="eastAsia" w:ascii="Times New Roman" w:hAnsi="Times New Roman" w:cs="方正仿宋_GBK"/>
          <w:color w:val="auto"/>
          <w:kern w:val="2"/>
        </w:rPr>
        <w:t>带动农民增收情况，</w:t>
      </w:r>
      <w:r>
        <w:rPr>
          <w:rFonts w:hint="eastAsia" w:ascii="Times New Roman" w:hAnsi="Times New Roman" w:cs="方正仿宋_GBK"/>
          <w:color w:val="auto"/>
          <w:lang w:val="zh-CN"/>
        </w:rPr>
        <w:t>近三年获得过的同类型财政资金补助情况，承担成品粮油储备规模等。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lang w:val="zh-CN"/>
        </w:rPr>
      </w:pPr>
      <w:r>
        <w:rPr>
          <w:rFonts w:hint="eastAsia" w:ascii="Times New Roman" w:hAnsi="Times New Roman" w:eastAsia="方正黑体_GBK" w:cs="方正黑体_GBK"/>
          <w:color w:val="auto"/>
          <w:kern w:val="2"/>
          <w:lang w:val="zh-CN"/>
        </w:rPr>
        <w:t>二、项目基本情况</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楷体_GBK" w:cs="方正楷体_GBK"/>
          <w:color w:val="auto"/>
          <w:kern w:val="2"/>
        </w:rPr>
      </w:pPr>
      <w:r>
        <w:rPr>
          <w:rFonts w:hint="eastAsia" w:ascii="Times New Roman" w:hAnsi="Times New Roman" w:eastAsia="方正楷体_GBK" w:cs="方正楷体_GBK"/>
          <w:color w:val="auto"/>
          <w:kern w:val="2"/>
        </w:rPr>
        <w:t>（一）项目概述</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lang w:val="zh-CN"/>
        </w:rPr>
      </w:pPr>
      <w:r>
        <w:rPr>
          <w:rFonts w:hint="eastAsia" w:ascii="Times New Roman" w:hAnsi="Times New Roman" w:cs="方正仿宋_GBK"/>
          <w:color w:val="auto"/>
        </w:rPr>
        <w:t>项目总体规划（达到立项标准的要附有已立项依据），</w:t>
      </w:r>
      <w:r>
        <w:rPr>
          <w:rFonts w:hint="eastAsia" w:ascii="Times New Roman" w:hAnsi="Times New Roman" w:cs="方正仿宋_GBK"/>
          <w:color w:val="auto"/>
          <w:lang w:val="zh-CN"/>
        </w:rPr>
        <w:t>项目地址、占地面积、建设内容及规模、保障措施等，</w:t>
      </w:r>
      <w:r>
        <w:rPr>
          <w:rFonts w:hint="eastAsia" w:ascii="Times New Roman" w:hAnsi="Times New Roman" w:cs="方正仿宋_GBK"/>
          <w:color w:val="auto"/>
        </w:rPr>
        <w:t>通过实施优质粮食工程项目，预期达到的绩效目标</w:t>
      </w:r>
      <w:r>
        <w:rPr>
          <w:rFonts w:hint="eastAsia" w:ascii="Times New Roman" w:hAnsi="Times New Roman" w:cs="方正仿宋_GBK"/>
          <w:color w:val="auto"/>
          <w:lang w:val="zh-CN"/>
        </w:rPr>
        <w:t>。</w:t>
      </w:r>
    </w:p>
    <w:p>
      <w:pPr>
        <w:keepNext w:val="0"/>
        <w:keepLines w:val="0"/>
        <w:pageBreakBefore w:val="0"/>
        <w:numPr>
          <w:ilvl w:val="-1"/>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楷体_GBK" w:cs="方正楷体_GBK"/>
          <w:color w:val="auto"/>
          <w:kern w:val="2"/>
          <w:lang w:val="zh-CN"/>
        </w:rPr>
      </w:pPr>
      <w:r>
        <w:rPr>
          <w:rFonts w:hint="eastAsia" w:ascii="Times New Roman" w:hAnsi="Times New Roman" w:eastAsia="方正楷体_GBK" w:cs="方正楷体_GBK"/>
          <w:color w:val="auto"/>
          <w:kern w:val="2"/>
        </w:rPr>
        <w:t>（</w:t>
      </w:r>
      <w:r>
        <w:rPr>
          <w:rFonts w:hint="eastAsia" w:ascii="Times New Roman" w:hAnsi="Times New Roman" w:eastAsia="方正楷体_GBK" w:cs="方正楷体_GBK"/>
          <w:color w:val="auto"/>
          <w:kern w:val="2"/>
          <w:lang w:eastAsia="zh-CN"/>
        </w:rPr>
        <w:t>二</w:t>
      </w:r>
      <w:r>
        <w:rPr>
          <w:rFonts w:hint="eastAsia" w:ascii="Times New Roman" w:hAnsi="Times New Roman" w:eastAsia="方正楷体_GBK" w:cs="方正楷体_GBK"/>
          <w:color w:val="auto"/>
          <w:kern w:val="2"/>
        </w:rPr>
        <w:t>）</w:t>
      </w:r>
      <w:r>
        <w:rPr>
          <w:rFonts w:hint="eastAsia" w:ascii="Times New Roman" w:hAnsi="Times New Roman" w:eastAsia="方正楷体_GBK" w:cs="方正楷体_GBK"/>
          <w:color w:val="auto"/>
          <w:kern w:val="2"/>
          <w:lang w:val="zh-CN"/>
        </w:rPr>
        <w:t>项目具体内容（根据项目类别选报）</w:t>
      </w:r>
    </w:p>
    <w:p>
      <w:pPr>
        <w:overflowPunct w:val="0"/>
        <w:bidi w:val="0"/>
        <w:adjustRightInd/>
        <w:spacing w:before="0" w:after="0" w:line="240" w:lineRule="auto"/>
        <w:ind w:firstLine="632" w:firstLineChars="200"/>
        <w:rPr>
          <w:rFonts w:hint="eastAsia" w:ascii="Times New Roman" w:hAnsi="Times New Roman" w:cs="方正仿宋_GBK"/>
          <w:color w:val="auto"/>
        </w:rPr>
      </w:pPr>
      <w:r>
        <w:rPr>
          <w:rFonts w:hint="eastAsia" w:ascii="Times New Roman" w:hAnsi="Times New Roman" w:cs="方正仿宋_GBK"/>
          <w:color w:val="auto"/>
        </w:rPr>
        <w:t>项目建设内容、规模、技术工艺及主要参数等，</w:t>
      </w:r>
      <w:r>
        <w:rPr>
          <w:rFonts w:hint="eastAsia" w:ascii="Times New Roman" w:hAnsi="Times New Roman" w:cs="方正仿宋_GBK"/>
          <w:color w:val="auto"/>
          <w:lang w:val="zh-CN"/>
        </w:rPr>
        <w:t>预期目标，</w:t>
      </w:r>
      <w:r>
        <w:rPr>
          <w:rFonts w:hint="eastAsia" w:ascii="Times New Roman" w:hAnsi="Times New Roman" w:cs="方正仿宋_GBK"/>
          <w:color w:val="auto"/>
        </w:rPr>
        <w:t>并对该项目实施前后效果进行对比，采用定性、定量相结合方式，在储备规模、生产及配送效率、质量品质、减损效果、节能减排指标等方面进行分析阐述。</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lang w:val="zh-CN"/>
        </w:rPr>
      </w:pPr>
      <w:r>
        <w:rPr>
          <w:rFonts w:hint="eastAsia" w:ascii="Times New Roman" w:hAnsi="Times New Roman" w:cs="方正仿宋_GBK"/>
          <w:color w:val="auto"/>
          <w:kern w:val="2"/>
        </w:rPr>
        <w:t>1．</w:t>
      </w:r>
      <w:r>
        <w:rPr>
          <w:rFonts w:hint="eastAsia" w:ascii="Times New Roman" w:hAnsi="Times New Roman" w:cs="方正仿宋_GBK"/>
          <w:color w:val="auto"/>
          <w:kern w:val="2"/>
          <w:lang w:val="zh-CN"/>
        </w:rPr>
        <w:t>粮</w:t>
      </w:r>
      <w:r>
        <w:rPr>
          <w:rFonts w:hint="eastAsia" w:ascii="Times New Roman" w:hAnsi="Times New Roman" w:cs="方正仿宋_GBK"/>
          <w:color w:val="auto"/>
          <w:lang w:val="zh-CN"/>
        </w:rPr>
        <w:t>食绿色仓储能力提升项目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lang w:val="zh-CN"/>
        </w:rPr>
        <w:t>项目建设内容、规模、技术工艺及主要参数等，包括对仓房（含成品粮仓）的仓顶、墙体、门窗、地面、孔洞及接缝部位，进行气密性和保温隔热改造具体情况；配备</w:t>
      </w:r>
      <w:r>
        <w:rPr>
          <w:rFonts w:hint="eastAsia" w:ascii="Times New Roman" w:hAnsi="Times New Roman" w:cs="方正仿宋_GBK"/>
          <w:color w:val="auto"/>
          <w:kern w:val="2"/>
        </w:rPr>
        <w:t>气调、机械或热泵制冷控温、内环流控温、粮情在线监测和智能化控制、光伏发电等设备</w:t>
      </w:r>
      <w:r>
        <w:rPr>
          <w:rFonts w:hint="eastAsia" w:ascii="Times New Roman" w:hAnsi="Times New Roman" w:cs="方正仿宋_GBK"/>
          <w:color w:val="auto"/>
        </w:rPr>
        <w:t>；购置输送、清理、入仓、除尘等设备，满足粮食除尘清杂、环保作业需求情况。</w:t>
      </w:r>
      <w:r>
        <w:rPr>
          <w:rFonts w:hint="eastAsia" w:ascii="Times New Roman" w:hAnsi="Times New Roman" w:cs="方正仿宋_GBK"/>
          <w:color w:val="auto"/>
          <w:lang w:val="zh-CN"/>
        </w:rPr>
        <w:t>通过升级改造，</w:t>
      </w:r>
      <w:r>
        <w:rPr>
          <w:rFonts w:hint="eastAsia" w:ascii="Times New Roman" w:hAnsi="Times New Roman" w:cs="方正仿宋_GBK"/>
          <w:color w:val="auto"/>
          <w:kern w:val="2"/>
        </w:rPr>
        <w:t>推动粮仓分类分级管理和使用，满足“优粮优储”需要，原则上达到</w:t>
      </w:r>
      <w:r>
        <w:rPr>
          <w:rFonts w:hint="eastAsia" w:ascii="Times New Roman" w:hAnsi="Times New Roman" w:cs="方正仿宋_GBK"/>
          <w:color w:val="auto"/>
          <w:lang w:val="zh-CN"/>
        </w:rPr>
        <w:t>原粮储备准低温、成品粮储备低温储存的标准，</w:t>
      </w:r>
      <w:r>
        <w:rPr>
          <w:rFonts w:hint="eastAsia" w:ascii="Times New Roman" w:hAnsi="Times New Roman" w:cs="方正仿宋_GBK"/>
          <w:color w:val="auto"/>
          <w:kern w:val="2"/>
        </w:rPr>
        <w:t>提高收储环节粮食品质保障能力，降低储粮成本，逐步实现政府储备粮食绿色仓储全覆盖，减少库区粉尘、噪音</w:t>
      </w:r>
      <w:r>
        <w:rPr>
          <w:rFonts w:hint="eastAsia" w:ascii="Times New Roman" w:hAnsi="Times New Roman" w:cs="方正仿宋_GBK"/>
          <w:color w:val="auto"/>
          <w:lang w:val="zh-CN"/>
        </w:rPr>
        <w:t>的目标。</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val="zh-CN"/>
        </w:rPr>
      </w:pPr>
      <w:r>
        <w:rPr>
          <w:rFonts w:hint="eastAsia" w:ascii="Times New Roman" w:hAnsi="Times New Roman" w:cs="方正仿宋_GBK"/>
          <w:color w:val="auto"/>
          <w:kern w:val="2"/>
        </w:rPr>
        <w:t>2．</w:t>
      </w:r>
      <w:r>
        <w:rPr>
          <w:rFonts w:hint="eastAsia" w:ascii="Times New Roman" w:hAnsi="Times New Roman" w:cs="方正仿宋_GBK"/>
          <w:color w:val="auto"/>
          <w:kern w:val="2"/>
          <w:lang w:val="zh-CN"/>
        </w:rPr>
        <w:t>粮食</w:t>
      </w:r>
      <w:r>
        <w:rPr>
          <w:rFonts w:hint="eastAsia" w:ascii="Times New Roman" w:hAnsi="Times New Roman" w:cs="方正仿宋_GBK"/>
          <w:color w:val="auto"/>
          <w:kern w:val="2"/>
        </w:rPr>
        <w:t>品种品质品牌</w:t>
      </w:r>
      <w:r>
        <w:rPr>
          <w:rFonts w:hint="eastAsia" w:ascii="Times New Roman" w:hAnsi="Times New Roman" w:cs="方正仿宋_GBK"/>
          <w:color w:val="auto"/>
          <w:kern w:val="2"/>
          <w:lang w:val="zh-CN"/>
        </w:rPr>
        <w:t>提升项目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lang w:val="zh-CN"/>
        </w:rPr>
        <w:t>项目建设内容、规模、技术工艺及主要参数等，包括订单种植</w:t>
      </w:r>
      <w:r>
        <w:rPr>
          <w:rFonts w:hint="eastAsia" w:ascii="Times New Roman" w:hAnsi="Times New Roman" w:cs="方正仿宋_GBK"/>
          <w:color w:val="auto"/>
        </w:rPr>
        <w:t>品种、</w:t>
      </w:r>
      <w:r>
        <w:rPr>
          <w:rFonts w:hint="eastAsia" w:ascii="Times New Roman" w:hAnsi="Times New Roman" w:cs="方正仿宋_GBK"/>
          <w:color w:val="auto"/>
          <w:lang w:val="zh-CN"/>
        </w:rPr>
        <w:t>面积、产量，</w:t>
      </w:r>
      <w:r>
        <w:rPr>
          <w:rFonts w:hint="eastAsia" w:ascii="Times New Roman" w:hAnsi="Times New Roman" w:cs="方正仿宋_GBK"/>
          <w:color w:val="auto"/>
          <w:kern w:val="2"/>
        </w:rPr>
        <w:t>优质粮油生产基地建设规划</w:t>
      </w:r>
      <w:r>
        <w:rPr>
          <w:rFonts w:hint="eastAsia" w:ascii="Times New Roman" w:hAnsi="Times New Roman" w:cs="方正仿宋_GBK"/>
          <w:color w:val="auto"/>
          <w:lang w:val="zh-CN"/>
        </w:rPr>
        <w:t>。</w:t>
      </w:r>
      <w:r>
        <w:rPr>
          <w:rFonts w:hint="eastAsia" w:ascii="Times New Roman" w:hAnsi="Times New Roman" w:cs="方正仿宋_GBK"/>
          <w:color w:val="auto"/>
        </w:rPr>
        <w:t>制定粮油</w:t>
      </w:r>
      <w:r>
        <w:rPr>
          <w:rFonts w:hint="eastAsia" w:ascii="Times New Roman" w:hAnsi="Times New Roman" w:cs="方正仿宋_GBK"/>
          <w:color w:val="auto"/>
          <w:kern w:val="2"/>
        </w:rPr>
        <w:t>产品质量标准、地方标准、“重庆好粮油”团体标准，宣传推介“重庆好粮油”产品等。</w:t>
      </w:r>
      <w:r>
        <w:rPr>
          <w:rFonts w:hint="eastAsia" w:ascii="Times New Roman" w:hAnsi="Times New Roman" w:cs="方正仿宋_GBK"/>
          <w:color w:val="auto"/>
        </w:rPr>
        <w:t>通过项目升级改造和实施，实现优质粮食供给更加丰富，粮食品质明显提升，粮食品牌体系更加完善，品牌影响力和市场竞争力持续提升。开辟网上销售渠道，</w:t>
      </w:r>
      <w:r>
        <w:rPr>
          <w:rFonts w:hint="eastAsia" w:ascii="Times New Roman" w:hAnsi="Times New Roman" w:cs="方正仿宋_GBK"/>
          <w:color w:val="auto"/>
          <w:kern w:val="2"/>
        </w:rPr>
        <w:t>开展产销对接，进一步拓展优质粮油产品营销渠道，实现线上线下结合。</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val="zh-CN"/>
        </w:rPr>
      </w:pPr>
      <w:r>
        <w:rPr>
          <w:rFonts w:hint="eastAsia" w:ascii="Times New Roman" w:hAnsi="Times New Roman" w:cs="方正仿宋_GBK"/>
          <w:color w:val="auto"/>
          <w:kern w:val="2"/>
        </w:rPr>
        <w:t>3．粮食质量追溯</w:t>
      </w:r>
      <w:r>
        <w:rPr>
          <w:rFonts w:hint="eastAsia" w:ascii="Times New Roman" w:hAnsi="Times New Roman" w:cs="方正仿宋_GBK"/>
          <w:color w:val="auto"/>
          <w:kern w:val="2"/>
          <w:lang w:val="zh-CN"/>
        </w:rPr>
        <w:t>提升项目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lang w:val="zh-CN"/>
        </w:rPr>
        <w:t>项目建设内容、规模、技术工艺及主要参数等，包括建设</w:t>
      </w:r>
      <w:r>
        <w:rPr>
          <w:rFonts w:hint="eastAsia" w:ascii="Times New Roman" w:hAnsi="Times New Roman" w:cs="方正仿宋_GBK"/>
          <w:color w:val="auto"/>
          <w:kern w:val="2"/>
        </w:rPr>
        <w:t>粮食质量检验监测信息网络体系、应急加工企业标准化质检室，储备企业规范化实验室提档升级以及依托企业建立“好粮油”产品质量追溯平台</w:t>
      </w:r>
      <w:r>
        <w:rPr>
          <w:rFonts w:hint="eastAsia" w:ascii="Times New Roman" w:hAnsi="Times New Roman" w:cs="方正仿宋_GBK"/>
          <w:color w:val="auto"/>
          <w:lang w:val="zh-CN"/>
        </w:rPr>
        <w:t>所需的软硬件设施设备</w:t>
      </w:r>
      <w:r>
        <w:rPr>
          <w:rFonts w:hint="eastAsia" w:ascii="Times New Roman" w:hAnsi="Times New Roman" w:cs="方正仿宋_GBK"/>
          <w:color w:val="auto"/>
          <w:kern w:val="2"/>
        </w:rPr>
        <w:t>。建立粮油产品质量追溯体系、粮食质检培训体系、粮油标准体系。开展优质粮食食味品质科学研究。</w:t>
      </w:r>
      <w:r>
        <w:rPr>
          <w:rFonts w:hint="eastAsia" w:ascii="Times New Roman" w:hAnsi="Times New Roman" w:cs="方正仿宋_GBK"/>
          <w:color w:val="auto"/>
        </w:rPr>
        <w:t>通过项目升级改造和建设，</w:t>
      </w:r>
      <w:r>
        <w:rPr>
          <w:rFonts w:hint="eastAsia" w:ascii="Times New Roman" w:hAnsi="Times New Roman" w:cs="方正仿宋_GBK"/>
          <w:color w:val="auto"/>
          <w:kern w:val="2"/>
        </w:rPr>
        <w:t>实现检测数据共享、数据分析、数据追溯，加强粮食质检人员检测技术理论和实操培训，提升检测能力，完善体系建设。</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val="zh-CN"/>
        </w:rPr>
      </w:pPr>
      <w:r>
        <w:rPr>
          <w:rFonts w:hint="eastAsia" w:ascii="Times New Roman" w:hAnsi="Times New Roman" w:cs="方正仿宋_GBK"/>
          <w:color w:val="auto"/>
          <w:kern w:val="2"/>
        </w:rPr>
        <w:t>4．粮食机械装备</w:t>
      </w:r>
      <w:r>
        <w:rPr>
          <w:rFonts w:hint="eastAsia" w:ascii="Times New Roman" w:hAnsi="Times New Roman" w:cs="方正仿宋_GBK"/>
          <w:color w:val="auto"/>
          <w:kern w:val="2"/>
          <w:lang w:val="zh-CN"/>
        </w:rPr>
        <w:t>提升项目</w:t>
      </w:r>
    </w:p>
    <w:p>
      <w:pPr>
        <w:keepNext w:val="0"/>
        <w:keepLines w:val="0"/>
        <w:pageBreakBefore w:val="0"/>
        <w:shd w:val="clea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lang w:val="zh-CN"/>
        </w:rPr>
        <w:t>项目建设内容、规模、技术工艺及主要参数等，包括</w:t>
      </w:r>
      <w:r>
        <w:rPr>
          <w:rFonts w:hint="eastAsia" w:ascii="Times New Roman" w:hAnsi="Times New Roman" w:cs="方正仿宋_GBK"/>
          <w:color w:val="auto"/>
          <w:kern w:val="2"/>
        </w:rPr>
        <w:t>在粮食清理、干燥、仓储、装卸、运输、加工等环节，应用粮食机械装备自主创新成果。对现有粮库进行智能化改造，升级配置粮食收储机械化、自动化、智能化、环保型装备和“四散化”运输、集装箱运输、成品粮冷链运输装备等。应用数字化、自动化、智能化生产装备改造升级粮食加工生产线，提升装备生产技术和行业节粮减损装备的制造水平，促进国产化加工装备使用率。</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kern w:val="2"/>
          <w:lang w:val="zh-CN"/>
        </w:rPr>
      </w:pPr>
      <w:r>
        <w:rPr>
          <w:rFonts w:hint="eastAsia" w:ascii="Times New Roman" w:hAnsi="Times New Roman" w:cs="方正仿宋_GBK"/>
          <w:color w:val="auto"/>
          <w:kern w:val="2"/>
        </w:rPr>
        <w:t>5．</w:t>
      </w:r>
      <w:r>
        <w:rPr>
          <w:rFonts w:hint="eastAsia" w:ascii="Times New Roman" w:hAnsi="Times New Roman" w:cs="方正仿宋_GBK"/>
          <w:color w:val="auto"/>
          <w:kern w:val="2"/>
          <w:lang w:val="zh-CN"/>
        </w:rPr>
        <w:t>粮食</w:t>
      </w:r>
      <w:r>
        <w:rPr>
          <w:rFonts w:hint="eastAsia" w:ascii="Times New Roman" w:hAnsi="Times New Roman" w:cs="方正仿宋_GBK"/>
          <w:color w:val="auto"/>
          <w:kern w:val="2"/>
        </w:rPr>
        <w:t>应急保障</w:t>
      </w:r>
      <w:r>
        <w:rPr>
          <w:rFonts w:hint="eastAsia" w:ascii="Times New Roman" w:hAnsi="Times New Roman" w:cs="方正仿宋_GBK"/>
          <w:color w:val="auto"/>
          <w:kern w:val="2"/>
          <w:lang w:val="zh-CN"/>
        </w:rPr>
        <w:t>能力提升项目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lang w:val="zh-CN"/>
        </w:rPr>
        <w:t>项目建设内容、规模、技术工艺及主要参数等，</w:t>
      </w:r>
      <w:r>
        <w:rPr>
          <w:rFonts w:hint="eastAsia" w:ascii="Times New Roman" w:hAnsi="Times New Roman" w:cs="方正仿宋_GBK"/>
          <w:color w:val="auto"/>
        </w:rPr>
        <w:t>配置满足成品粮油储存、物流配送、供应、加工等功能的设施设备。支持新建应急粮油加工企业，</w:t>
      </w:r>
      <w:r>
        <w:rPr>
          <w:rFonts w:hint="eastAsia" w:ascii="Times New Roman" w:hAnsi="Times New Roman" w:cs="方正仿宋_GBK"/>
          <w:color w:val="auto"/>
          <w:kern w:val="2"/>
        </w:rPr>
        <w:t>开展粮油加工企业技术改造和生产设备升级</w:t>
      </w:r>
      <w:r>
        <w:rPr>
          <w:rFonts w:hint="eastAsia" w:ascii="Times New Roman" w:hAnsi="Times New Roman" w:cs="方正仿宋_GBK"/>
          <w:color w:val="auto"/>
        </w:rPr>
        <w:t>，扩大小包装粮油产品应急加工产能，配备成品粮装卸和冷链运输设施设备等。</w:t>
      </w:r>
      <w:r>
        <w:rPr>
          <w:rFonts w:hint="eastAsia" w:ascii="Times New Roman" w:hAnsi="Times New Roman" w:cs="方正仿宋_GBK"/>
          <w:color w:val="auto"/>
          <w:kern w:val="2"/>
        </w:rPr>
        <w:t>推进主食产业化，加大主食制品、方便食品开发生产力度，提升主食加工能力。</w:t>
      </w:r>
    </w:p>
    <w:p>
      <w:pPr>
        <w:keepNext w:val="0"/>
        <w:keepLines w:val="0"/>
        <w:pageBreakBefore w:val="0"/>
        <w:numPr>
          <w:ilvl w:val="0"/>
          <w:numId w:val="0"/>
        </w:numPr>
        <w:kinsoku/>
        <w:wordWrap/>
        <w:overflowPunct w:val="0"/>
        <w:topLinePunct w:val="0"/>
        <w:autoSpaceDE/>
        <w:autoSpaceDN/>
        <w:bidi w:val="0"/>
        <w:adjustRightInd/>
        <w:snapToGrid/>
        <w:spacing w:before="0" w:after="0" w:line="240" w:lineRule="auto"/>
        <w:ind w:left="0" w:right="0" w:rightChars="0" w:firstLine="632" w:firstLineChars="200"/>
        <w:textAlignment w:val="auto"/>
        <w:outlineLvl w:val="9"/>
        <w:rPr>
          <w:rFonts w:hint="eastAsia" w:ascii="Times New Roman" w:hAnsi="Times New Roman" w:cs="方正仿宋_GBK"/>
          <w:color w:val="auto"/>
          <w:kern w:val="2"/>
          <w:lang w:val="zh-CN"/>
        </w:rPr>
      </w:pPr>
      <w:r>
        <w:rPr>
          <w:rFonts w:hint="eastAsia" w:ascii="Times New Roman" w:hAnsi="Times New Roman" w:cs="方正仿宋_GBK"/>
          <w:color w:val="auto"/>
          <w:kern w:val="2"/>
        </w:rPr>
        <w:t>6．粮食节约减损健康消费提升项目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仿宋_GBK" w:cs="方正仿宋_GBK"/>
          <w:color w:val="auto"/>
          <w:kern w:val="2"/>
          <w:lang w:val="zh-CN"/>
        </w:rPr>
      </w:pPr>
      <w:r>
        <w:rPr>
          <w:rFonts w:hint="eastAsia" w:ascii="Times New Roman" w:hAnsi="Times New Roman" w:cs="方正仿宋_GBK"/>
          <w:color w:val="auto"/>
          <w:lang w:val="zh-CN"/>
        </w:rPr>
        <w:t>项目建设内容、规模、技术工艺及主要参数等，包括改造提升原有粮食产后服务中心所需的设施设备，新建粮食产后服务中心配备必要的清理、烘干、运输、简易仓储、质量检验等设施设备；指导农户科学储粮，配备钢板仓、钢网仓等储粮新装具。建设爱粮节粮宣传教育基地，组织开展节粮减损和粮油营养健康、合理膳食等宣传教育活动。</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lang w:val="zh-CN"/>
        </w:rPr>
      </w:pPr>
      <w:r>
        <w:rPr>
          <w:rFonts w:hint="eastAsia" w:ascii="Times New Roman" w:hAnsi="Times New Roman" w:eastAsia="方正黑体_GBK" w:cs="方正黑体_GBK"/>
          <w:color w:val="auto"/>
          <w:kern w:val="2"/>
          <w:lang w:val="zh-CN"/>
        </w:rPr>
        <w:t>三、项目分析</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lang w:val="zh-CN"/>
        </w:rPr>
      </w:pPr>
      <w:r>
        <w:rPr>
          <w:rFonts w:hint="eastAsia" w:ascii="Times New Roman" w:hAnsi="Times New Roman" w:cs="方正仿宋_GBK"/>
          <w:color w:val="auto"/>
        </w:rPr>
        <w:t>综合分析项目的必要性及可行性，以及申请优质粮食工程项目补助的理由和依据。</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lang w:val="zh-CN"/>
        </w:rPr>
      </w:pPr>
      <w:r>
        <w:rPr>
          <w:rFonts w:hint="eastAsia" w:ascii="Times New Roman" w:hAnsi="Times New Roman" w:eastAsia="方正黑体_GBK" w:cs="方正黑体_GBK"/>
          <w:color w:val="auto"/>
          <w:kern w:val="2"/>
          <w:lang w:val="zh-CN"/>
        </w:rPr>
        <w:t>四、投资总额情况</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说明项目资金来源，总投资明细和投资完成情况，自筹资金来源及足额到位凭证等。</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eastAsia="方正黑体_GBK" w:cs="方正黑体_GBK"/>
          <w:color w:val="auto"/>
          <w:kern w:val="2"/>
          <w:lang w:val="zh-CN"/>
        </w:rPr>
      </w:pPr>
      <w:r>
        <w:rPr>
          <w:rFonts w:hint="eastAsia" w:ascii="Times New Roman" w:hAnsi="Times New Roman" w:eastAsia="方正黑体_GBK" w:cs="方正黑体_GBK"/>
          <w:color w:val="auto"/>
          <w:kern w:val="2"/>
          <w:lang w:val="zh-CN"/>
        </w:rPr>
        <w:t>五、项目进展情况</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（一）项目截止至申报时的进展、投资完成情况以及实景照片。</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lang w:val="zh-CN"/>
        </w:rPr>
      </w:pPr>
      <w:r>
        <w:rPr>
          <w:rFonts w:hint="eastAsia" w:ascii="Times New Roman" w:hAnsi="Times New Roman" w:cs="方正仿宋_GBK"/>
          <w:color w:val="auto"/>
        </w:rPr>
        <w:t>（二）项目总体进度安排，完成时限，项目推进措施等。进度安排具体到月。</w:t>
      </w:r>
    </w:p>
    <w:p>
      <w:pPr>
        <w:keepNext w:val="0"/>
        <w:keepLines w:val="0"/>
        <w:pageBreakBefore w:val="0"/>
        <w:numPr>
          <w:ilvl w:val="-1"/>
          <w:numId w:val="0"/>
        </w:numPr>
        <w:kinsoku/>
        <w:wordWrap/>
        <w:overflowPunct w:val="0"/>
        <w:topLinePunct w:val="0"/>
        <w:autoSpaceDE/>
        <w:autoSpaceDN/>
        <w:bidi w:val="0"/>
        <w:adjustRightInd/>
        <w:snapToGrid/>
        <w:spacing w:before="0" w:after="0" w:line="240" w:lineRule="auto"/>
        <w:ind w:left="0" w:right="0" w:rightChars="0" w:firstLine="632" w:firstLineChars="200"/>
        <w:textAlignment w:val="auto"/>
        <w:outlineLvl w:val="9"/>
        <w:rPr>
          <w:rFonts w:hint="eastAsia" w:ascii="Times New Roman" w:hAnsi="Times New Roman" w:eastAsia="方正黑体_GBK" w:cs="方正黑体_GBK"/>
          <w:color w:val="auto"/>
          <w:kern w:val="2"/>
          <w:lang w:val="zh-CN"/>
        </w:rPr>
      </w:pPr>
      <w:r>
        <w:rPr>
          <w:rFonts w:hint="eastAsia" w:ascii="Times New Roman" w:hAnsi="Times New Roman" w:eastAsia="方正黑体_GBK" w:cs="方正黑体_GBK"/>
          <w:color w:val="auto"/>
          <w:kern w:val="2"/>
          <w:lang w:val="zh-CN"/>
        </w:rPr>
        <w:t>六、项目建设主体</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632" w:firstLineChars="200"/>
        <w:textAlignment w:val="auto"/>
        <w:outlineLvl w:val="9"/>
        <w:rPr>
          <w:rFonts w:hint="eastAsia" w:ascii="Times New Roman" w:hAnsi="Times New Roman" w:cs="方正仿宋_GBK"/>
          <w:color w:val="auto"/>
          <w:lang w:val="zh-CN"/>
        </w:rPr>
      </w:pPr>
      <w:r>
        <w:rPr>
          <w:rFonts w:hint="eastAsia" w:ascii="Times New Roman" w:hAnsi="Times New Roman" w:cs="方正仿宋_GBK"/>
          <w:color w:val="auto"/>
          <w:lang w:val="zh-CN"/>
        </w:rPr>
        <w:t>包括项目建设主体法人代表、项目负责人、工作人员姓名、职务及联系方式等。</w:t>
      </w:r>
    </w:p>
    <w:p>
      <w:pPr>
        <w:shd w:val="clear"/>
        <w:overflowPunct w:val="0"/>
        <w:adjustRightInd/>
        <w:spacing w:before="0" w:beforeAutospacing="0" w:after="0" w:afterAutospacing="0" w:line="240" w:lineRule="auto"/>
        <w:ind w:firstLine="632" w:firstLineChars="200"/>
        <w:textAlignment w:val="auto"/>
        <w:outlineLvl w:val="9"/>
        <w:rPr>
          <w:rFonts w:hint="eastAsia" w:ascii="Times New Roman" w:hAnsi="Times New Roman" w:eastAsia="方正黑体_GBK" w:cs="方正黑体_GBK"/>
          <w:color w:val="auto"/>
          <w:kern w:val="2"/>
          <w:lang w:val="zh-CN"/>
        </w:rPr>
      </w:pPr>
      <w:r>
        <w:rPr>
          <w:rFonts w:hint="eastAsia" w:ascii="Times New Roman" w:hAnsi="Times New Roman" w:eastAsia="方正黑体_GBK" w:cs="方正黑体_GBK"/>
          <w:color w:val="auto"/>
          <w:kern w:val="2"/>
          <w:lang w:val="zh-CN"/>
        </w:rPr>
        <w:t>七、有关材料</w:t>
      </w:r>
    </w:p>
    <w:p>
      <w:pPr>
        <w:keepNext w:val="0"/>
        <w:keepLines w:val="0"/>
        <w:pageBreakBefore w:val="0"/>
        <w:shd w:val="clear"/>
        <w:kinsoku/>
        <w:wordWrap/>
        <w:overflowPunct w:val="0"/>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（一）</w:t>
      </w:r>
      <w:r>
        <w:rPr>
          <w:rFonts w:hint="eastAsia" w:ascii="Times New Roman" w:hAnsi="Times New Roman" w:cs="方正仿宋_GBK"/>
          <w:color w:val="auto"/>
          <w:lang w:val="zh-CN"/>
        </w:rPr>
        <w:t>项目</w:t>
      </w:r>
      <w:r>
        <w:rPr>
          <w:rFonts w:hint="eastAsia" w:ascii="Times New Roman" w:hAnsi="Times New Roman" w:cs="方正仿宋_GBK"/>
          <w:color w:val="auto"/>
        </w:rPr>
        <w:t>立项、审批的方式及有关资料，批复文件等。</w:t>
      </w:r>
    </w:p>
    <w:p>
      <w:pPr>
        <w:keepNext w:val="0"/>
        <w:keepLines w:val="0"/>
        <w:pageBreakBefore w:val="0"/>
        <w:shd w:val="clear"/>
        <w:kinsoku/>
        <w:wordWrap/>
        <w:overflowPunct w:val="0"/>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（二）公司营业执照、注册登记证明、审计报告、龙头企业及相关荣誉</w:t>
      </w:r>
      <w:r>
        <w:rPr>
          <w:rFonts w:hint="eastAsia" w:ascii="Times New Roman" w:hAnsi="Times New Roman" w:cs="方正仿宋_GBK"/>
          <w:color w:val="auto"/>
          <w:lang w:val="zh-CN"/>
        </w:rPr>
        <w:t>证书</w:t>
      </w:r>
      <w:r>
        <w:rPr>
          <w:rFonts w:hint="eastAsia" w:ascii="Times New Roman" w:hAnsi="Times New Roman" w:cs="方正仿宋_GBK"/>
          <w:color w:val="auto"/>
        </w:rPr>
        <w:t>等。</w:t>
      </w:r>
    </w:p>
    <w:p>
      <w:pPr>
        <w:keepNext w:val="0"/>
        <w:keepLines w:val="0"/>
        <w:pageBreakBefore w:val="0"/>
        <w:shd w:val="clear"/>
        <w:kinsoku/>
        <w:wordWrap/>
        <w:overflowPunct w:val="0"/>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（三）</w:t>
      </w:r>
      <w:r>
        <w:rPr>
          <w:rFonts w:hint="eastAsia" w:ascii="Times New Roman" w:hAnsi="Times New Roman" w:cs="方正仿宋_GBK"/>
          <w:color w:val="auto"/>
          <w:lang w:val="zh-CN"/>
        </w:rPr>
        <w:t>项目</w:t>
      </w:r>
      <w:r>
        <w:rPr>
          <w:rFonts w:hint="eastAsia" w:ascii="Times New Roman" w:hAnsi="Times New Roman" w:cs="方正仿宋_GBK"/>
          <w:color w:val="auto"/>
        </w:rPr>
        <w:t>进展情况。前期工作开展情况、已投入资金情况、已投入建设内容、主要合同以及现场照片等。</w:t>
      </w:r>
    </w:p>
    <w:p>
      <w:pPr>
        <w:keepNext w:val="0"/>
        <w:keepLines w:val="0"/>
        <w:pageBreakBefore w:val="0"/>
        <w:shd w:val="clear"/>
        <w:kinsoku/>
        <w:wordWrap/>
        <w:overflowPunct w:val="0"/>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（四）项目总投资概算表，包含工程费用、其他费用和预备费。</w:t>
      </w:r>
    </w:p>
    <w:p>
      <w:pPr>
        <w:numPr>
          <w:ilvl w:val="-1"/>
          <w:numId w:val="0"/>
        </w:numPr>
        <w:overflowPunct w:val="0"/>
        <w:adjustRightInd/>
        <w:snapToGrid/>
        <w:spacing w:before="0" w:after="0" w:line="240" w:lineRule="auto"/>
        <w:ind w:left="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（五）</w:t>
      </w:r>
      <w:r>
        <w:rPr>
          <w:rFonts w:hint="eastAsia" w:ascii="Times New Roman" w:hAnsi="Times New Roman" w:cs="方正仿宋_GBK"/>
          <w:color w:val="auto"/>
          <w:lang w:val="zh-CN"/>
        </w:rPr>
        <w:t>承诺书</w:t>
      </w:r>
      <w:r>
        <w:rPr>
          <w:rFonts w:hint="eastAsia" w:ascii="Times New Roman" w:hAnsi="Times New Roman" w:cs="方正仿宋_GBK"/>
          <w:color w:val="auto"/>
        </w:rPr>
        <w:t>，包括但不限于企业经营状况、违法违纪情况、财务状况、纳税信用和银行信用、失信联合惩戒情况、安全生产，项目资料真实性、实施进度情况、工期承诺等方面。</w:t>
      </w:r>
    </w:p>
    <w:p>
      <w:pPr>
        <w:numPr>
          <w:ilvl w:val="12"/>
          <w:numId w:val="0"/>
        </w:numPr>
        <w:overflowPunct w:val="0"/>
        <w:adjustRightInd/>
        <w:snapToGrid/>
        <w:spacing w:before="0" w:after="0" w:line="240" w:lineRule="auto"/>
        <w:ind w:left="0" w:firstLine="632" w:firstLineChars="200"/>
        <w:textAlignment w:val="auto"/>
        <w:outlineLvl w:val="9"/>
        <w:rPr>
          <w:rFonts w:hint="eastAsia" w:ascii="Times New Roman" w:hAnsi="Times New Roman" w:cs="方正仿宋_GBK"/>
          <w:color w:val="auto"/>
        </w:rPr>
      </w:pPr>
      <w:r>
        <w:rPr>
          <w:rFonts w:hint="eastAsia" w:ascii="Times New Roman" w:hAnsi="Times New Roman" w:cs="方正仿宋_GBK"/>
          <w:color w:val="auto"/>
        </w:rPr>
        <w:t>（六）其他必要相关资料。</w:t>
      </w:r>
    </w:p>
    <w:p>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rPr>
          <w:rFonts w:ascii="Times New Roman" w:hAnsi="Times New Roman"/>
          <w:color w:val="auto"/>
          <w:lang w:val="zh-CN"/>
        </w:rPr>
      </w:pPr>
    </w:p>
    <w:p>
      <w:pPr>
        <w:overflowPunct w:val="0"/>
        <w:adjustRightInd/>
        <w:spacing w:before="0" w:after="0" w:line="240" w:lineRule="auto"/>
        <w:rPr>
          <w:rFonts w:ascii="Times New Roman" w:hAnsi="Times New Roman"/>
          <w:color w:val="auto"/>
        </w:rPr>
      </w:pPr>
    </w:p>
    <w:p>
      <w:pPr>
        <w:overflowPunct w:val="0"/>
        <w:adjustRightInd/>
        <w:spacing w:before="0" w:after="0" w:line="240" w:lineRule="auto"/>
        <w:rPr>
          <w:rFonts w:ascii="Times New Roman" w:hAnsi="Times New Roman"/>
          <w:color w:val="auto"/>
        </w:rPr>
      </w:pPr>
    </w:p>
    <w:p>
      <w:pPr>
        <w:overflowPunct w:val="0"/>
        <w:adjustRightInd/>
        <w:spacing w:before="0" w:after="0" w:line="240" w:lineRule="auto"/>
        <w:rPr>
          <w:rFonts w:ascii="Times New Roman" w:hAnsi="Times New Roman"/>
          <w:color w:val="auto"/>
        </w:rPr>
      </w:pPr>
    </w:p>
    <w:p>
      <w:pPr>
        <w:overflowPunct w:val="0"/>
        <w:adjustRightInd/>
        <w:spacing w:before="0" w:after="0" w:line="240" w:lineRule="auto"/>
        <w:rPr>
          <w:rFonts w:ascii="Times New Roman" w:hAnsi="Times New Roman"/>
          <w:color w:val="auto"/>
        </w:rPr>
      </w:pPr>
    </w:p>
    <w:p>
      <w:pPr>
        <w:overflowPunct w:val="0"/>
        <w:adjustRightInd/>
        <w:spacing w:before="0" w:after="0" w:line="240" w:lineRule="auto"/>
        <w:rPr>
          <w:rFonts w:ascii="Times New Roman" w:hAnsi="Times New Roman"/>
          <w:color w:val="auto"/>
        </w:rPr>
      </w:pPr>
    </w:p>
    <w:p>
      <w:pPr>
        <w:overflowPunct w:val="0"/>
        <w:adjustRightInd/>
        <w:spacing w:before="0" w:after="0" w:line="240" w:lineRule="auto"/>
        <w:rPr>
          <w:rFonts w:ascii="Times New Roman" w:hAnsi="Times New Roman"/>
          <w:color w:val="auto"/>
        </w:rPr>
      </w:pPr>
    </w:p>
    <w:p>
      <w:pPr>
        <w:overflowPunct w:val="0"/>
        <w:adjustRightInd/>
        <w:spacing w:before="0" w:after="0" w:line="240" w:lineRule="auto"/>
        <w:rPr>
          <w:rFonts w:ascii="Times New Roman" w:hAnsi="Times New Roman"/>
          <w:color w:val="auto"/>
        </w:rPr>
      </w:pPr>
    </w:p>
    <w:p>
      <w:pPr>
        <w:overflowPunct w:val="0"/>
        <w:adjustRightInd/>
        <w:spacing w:before="0" w:after="0" w:line="240" w:lineRule="auto"/>
        <w:rPr>
          <w:rFonts w:ascii="Times New Roman" w:hAnsi="Times New Roman"/>
          <w:color w:val="auto"/>
        </w:rPr>
      </w:pPr>
    </w:p>
    <w:p>
      <w:pPr>
        <w:overflowPunct w:val="0"/>
        <w:adjustRightInd/>
        <w:spacing w:before="0" w:after="0" w:line="240" w:lineRule="auto"/>
        <w:rPr>
          <w:rFonts w:ascii="Times New Roman" w:hAnsi="Times New Roman"/>
          <w:color w:val="auto"/>
        </w:rPr>
      </w:pPr>
    </w:p>
    <w:p>
      <w:pPr>
        <w:overflowPunct w:val="0"/>
        <w:adjustRightInd/>
        <w:spacing w:before="0" w:after="0" w:line="240" w:lineRule="auto"/>
        <w:rPr>
          <w:rFonts w:ascii="Times New Roman" w:hAnsi="Times New Roman"/>
          <w:color w:val="auto"/>
        </w:rPr>
      </w:pPr>
    </w:p>
    <w:p>
      <w:pPr>
        <w:pBdr>
          <w:bottom w:val="none" w:color="auto" w:sz="0" w:space="0"/>
        </w:pBdr>
        <w:overflowPunct w:val="0"/>
        <w:adjustRightInd/>
        <w:spacing w:before="0" w:after="0" w:line="510" w:lineRule="exact"/>
        <w:rPr>
          <w:rFonts w:ascii="Times New Roman" w:hAnsi="Times New Roman"/>
          <w:color w:val="auto"/>
        </w:rPr>
      </w:pPr>
    </w:p>
    <w:p>
      <w:pPr>
        <w:pBdr>
          <w:top w:val="single" w:color="auto" w:sz="12" w:space="0"/>
          <w:bottom w:val="single" w:color="auto" w:sz="12" w:space="0"/>
        </w:pBdr>
        <w:overflowPunct w:val="0"/>
        <w:adjustRightInd/>
        <w:spacing w:before="0" w:after="0" w:line="240" w:lineRule="auto"/>
        <w:rPr>
          <w:rFonts w:hint="default"/>
          <w:color w:val="auto"/>
          <w:lang w:val="en-US" w:eastAsia="zh-CN"/>
        </w:rPr>
      </w:pPr>
      <w:r>
        <w:rPr>
          <w:rFonts w:hint="eastAsia" w:ascii="Times New Roman" w:hAnsi="Times New Roman"/>
          <w:color w:val="auto"/>
          <w:sz w:val="28"/>
          <w:szCs w:val="28"/>
          <w:lang w:val="en-US" w:eastAsia="zh-CN"/>
        </w:rPr>
        <w:t xml:space="preserve">  </w:t>
      </w:r>
    </w:p>
    <w:sectPr>
      <w:footerReference r:id="rId4" w:type="default"/>
      <w:footerReference r:id="rId5" w:type="even"/>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snapToGrid/>
      <w:spacing w:after="0" w:line="240" w:lineRule="auto"/>
    </w:pPr>
    <w:r>
      <w:rPr>
        <w:sz w:val="18"/>
      </w:rPr>
      <w:pict>
        <v:shape id="_x0000_s2052" o:spid="_x0000_s205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aspectratio="f"/>
          <v:textbox inset="0mm,0mm,0mm,0mm" style="mso-fit-shape-to-text:t;">
            <w:txbxContent>
              <w:p>
                <w:pPr>
                  <w:pStyle w:val="3"/>
                  <w:adjustRightInd/>
                  <w:snapToGrid/>
                  <w:spacing w:after="0" w:line="240" w:lineRule="auto"/>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r>
      <w:rPr>
        <w:sz w:val="18"/>
      </w:rPr>
      <w:pict>
        <v:shape id="_x0000_s2053" o:spid="_x0000_s205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aspectratio="f"/>
          <v:textbox inset="0mm,0mm,0mm,0mm" style="mso-fit-shape-to-text:t;">
            <w:txbxContent>
              <w:p>
                <w:pPr>
                  <w:pStyle w:val="3"/>
                </w:pPr>
                <w:r>
                  <w:rPr>
                    <w:rFonts w:hint="eastAsia" w:asciiTheme="minorEastAsia" w:hAnsiTheme="minorEastAsia" w:cstheme="minorEastAsia"/>
                    <w:b w:val="0"/>
                    <w:bCs w:val="0"/>
                    <w:sz w:val="28"/>
                    <w:szCs w:val="28"/>
                  </w:rPr>
                  <w:fldChar w:fldCharType="begin"/>
                </w:r>
                <w:r>
                  <w:rPr>
                    <w:rFonts w:hint="eastAsia" w:asciiTheme="minorEastAsia" w:hAnsiTheme="minorEastAsia" w:cstheme="minorEastAsia"/>
                    <w:b w:val="0"/>
                    <w:bCs w:val="0"/>
                    <w:sz w:val="28"/>
                    <w:szCs w:val="28"/>
                  </w:rPr>
                  <w:fldChar w:fldCharType="separate"/>
                </w:r>
                <w:r>
                  <w:rPr>
                    <w:rFonts w:hint="eastAsia" w:asciiTheme="minorEastAsia" w:hAnsiTheme="minorEastAsia" w:cstheme="minorEastAsia"/>
                    <w:b w:val="0"/>
                    <w:bCs w:val="0"/>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snapToGrid/>
      <w:spacing w:after="0" w:line="240" w:lineRule="auto"/>
      <w:jc w:val="right"/>
    </w:pPr>
    <w:r>
      <w:rPr>
        <w:sz w:val="18"/>
      </w:rPr>
      <w:pict>
        <v:shape id="_x0000_s2051" o:spid="_x0000_s205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adjustRightInd/>
                  <w:snapToGrid/>
                  <w:spacing w:after="0" w:line="240" w:lineRule="auto"/>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10</w:t>
                </w:r>
                <w:r>
                  <w:rPr>
                    <w:rFonts w:hint="default"/>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A275B"/>
    <w:rsid w:val="000B4A22"/>
    <w:rsid w:val="000C0BF7"/>
    <w:rsid w:val="000C2FB2"/>
    <w:rsid w:val="000C6B28"/>
    <w:rsid w:val="000F25BF"/>
    <w:rsid w:val="001024AA"/>
    <w:rsid w:val="001056AD"/>
    <w:rsid w:val="00182501"/>
    <w:rsid w:val="00185691"/>
    <w:rsid w:val="001D3042"/>
    <w:rsid w:val="001E71C2"/>
    <w:rsid w:val="001F7BBB"/>
    <w:rsid w:val="0026218B"/>
    <w:rsid w:val="0026530B"/>
    <w:rsid w:val="00296D93"/>
    <w:rsid w:val="002B04C6"/>
    <w:rsid w:val="00301B6D"/>
    <w:rsid w:val="00301CEE"/>
    <w:rsid w:val="00396CAE"/>
    <w:rsid w:val="003D5F25"/>
    <w:rsid w:val="003E4FE8"/>
    <w:rsid w:val="003E5084"/>
    <w:rsid w:val="003F450B"/>
    <w:rsid w:val="00413264"/>
    <w:rsid w:val="00432433"/>
    <w:rsid w:val="00434D79"/>
    <w:rsid w:val="00474C3A"/>
    <w:rsid w:val="00496D2E"/>
    <w:rsid w:val="00497F00"/>
    <w:rsid w:val="004A2FB3"/>
    <w:rsid w:val="004E0474"/>
    <w:rsid w:val="0050535E"/>
    <w:rsid w:val="005271C6"/>
    <w:rsid w:val="005777F4"/>
    <w:rsid w:val="005C221C"/>
    <w:rsid w:val="005C7EAE"/>
    <w:rsid w:val="006042BD"/>
    <w:rsid w:val="006068C6"/>
    <w:rsid w:val="0063154E"/>
    <w:rsid w:val="006A30D0"/>
    <w:rsid w:val="007043DC"/>
    <w:rsid w:val="0072131F"/>
    <w:rsid w:val="00731C1B"/>
    <w:rsid w:val="00737083"/>
    <w:rsid w:val="00765BC9"/>
    <w:rsid w:val="007770A5"/>
    <w:rsid w:val="00793720"/>
    <w:rsid w:val="00794916"/>
    <w:rsid w:val="007B0DE3"/>
    <w:rsid w:val="007F394F"/>
    <w:rsid w:val="007F46CB"/>
    <w:rsid w:val="00815223"/>
    <w:rsid w:val="00831787"/>
    <w:rsid w:val="00860A47"/>
    <w:rsid w:val="008642D8"/>
    <w:rsid w:val="00891C35"/>
    <w:rsid w:val="008935D1"/>
    <w:rsid w:val="008B74C0"/>
    <w:rsid w:val="009048D5"/>
    <w:rsid w:val="00904AFE"/>
    <w:rsid w:val="0092122C"/>
    <w:rsid w:val="009220DF"/>
    <w:rsid w:val="00965CCB"/>
    <w:rsid w:val="00972E17"/>
    <w:rsid w:val="00995785"/>
    <w:rsid w:val="009A5EB0"/>
    <w:rsid w:val="009E1F1F"/>
    <w:rsid w:val="00A40C10"/>
    <w:rsid w:val="00A443C1"/>
    <w:rsid w:val="00A955CD"/>
    <w:rsid w:val="00B1777D"/>
    <w:rsid w:val="00B42928"/>
    <w:rsid w:val="00B51CD6"/>
    <w:rsid w:val="00B833D8"/>
    <w:rsid w:val="00C464A8"/>
    <w:rsid w:val="00C6762A"/>
    <w:rsid w:val="00C739C4"/>
    <w:rsid w:val="00CF2FA9"/>
    <w:rsid w:val="00CF737B"/>
    <w:rsid w:val="00D01740"/>
    <w:rsid w:val="00D471B4"/>
    <w:rsid w:val="00D7295A"/>
    <w:rsid w:val="00D878F1"/>
    <w:rsid w:val="00D97CFB"/>
    <w:rsid w:val="00DB38C2"/>
    <w:rsid w:val="00E03841"/>
    <w:rsid w:val="00E770E1"/>
    <w:rsid w:val="00E93235"/>
    <w:rsid w:val="00ED5B9D"/>
    <w:rsid w:val="00F14A44"/>
    <w:rsid w:val="00F63B69"/>
    <w:rsid w:val="00F76AAF"/>
    <w:rsid w:val="00F830E2"/>
    <w:rsid w:val="00FA4D84"/>
    <w:rsid w:val="02EE3EFC"/>
    <w:rsid w:val="0B8765DD"/>
    <w:rsid w:val="1CA343F4"/>
    <w:rsid w:val="21943206"/>
    <w:rsid w:val="21D35E4B"/>
    <w:rsid w:val="3C023B0C"/>
    <w:rsid w:val="3C843CCE"/>
    <w:rsid w:val="3E520BF8"/>
    <w:rsid w:val="4DF665E7"/>
    <w:rsid w:val="530F30AC"/>
    <w:rsid w:val="55A54027"/>
    <w:rsid w:val="5CFD27E7"/>
    <w:rsid w:val="61C96508"/>
    <w:rsid w:val="71575DA8"/>
    <w:rsid w:val="718A337C"/>
    <w:rsid w:val="75CF5F51"/>
    <w:rsid w:val="7B4A3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after="160"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uiPriority w:val="99"/>
    <w:pPr>
      <w:tabs>
        <w:tab w:val="center" w:pos="4153"/>
        <w:tab w:val="right" w:pos="8306"/>
      </w:tabs>
      <w:snapToGrid w:val="0"/>
      <w:spacing w:line="240" w:lineRule="atLeast"/>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sz w:val="24"/>
      <w:szCs w:val="24"/>
    </w:rPr>
  </w:style>
  <w:style w:type="character" w:styleId="8">
    <w:name w:val="page number"/>
    <w:basedOn w:val="7"/>
    <w:qFormat/>
    <w:uiPriority w:val="0"/>
  </w:style>
  <w:style w:type="character" w:styleId="9">
    <w:name w:val="Hyperlink"/>
    <w:basedOn w:val="7"/>
    <w:semiHidden/>
    <w:unhideWhenUsed/>
    <w:qFormat/>
    <w:uiPriority w:val="0"/>
    <w:rPr>
      <w:color w:val="0000FF"/>
      <w:u w:val="single"/>
    </w:rPr>
  </w:style>
  <w:style w:type="character" w:customStyle="1" w:styleId="10">
    <w:name w:val="页眉 Char"/>
    <w:link w:val="4"/>
    <w:qFormat/>
    <w:uiPriority w:val="0"/>
    <w:rPr>
      <w:rFonts w:eastAsia="方正仿宋_GBK"/>
      <w:sz w:val="18"/>
      <w:szCs w:val="18"/>
    </w:rPr>
  </w:style>
  <w:style w:type="character" w:customStyle="1" w:styleId="11">
    <w:name w:val="页脚 Char"/>
    <w:link w:val="3"/>
    <w:qFormat/>
    <w:uiPriority w:val="99"/>
    <w:rPr>
      <w:rFonts w:eastAsia="方正仿宋_GBK"/>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3"/>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20</Characters>
  <Lines>1</Lines>
  <Paragraphs>1</Paragraphs>
  <TotalTime>2</TotalTime>
  <ScaleCrop>false</ScaleCrop>
  <LinksUpToDate>false</LinksUpToDate>
  <CharactersWithSpaces>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2009-06-08T14:26:00Z</cp:lastPrinted>
  <dcterms:modified xsi:type="dcterms:W3CDTF">2023-03-30T05:25:18Z</dcterms:modified>
  <dc:title>重庆市计委关于巫山县小小三峡手扒岩至平河</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6DADAEA5D10B49218D3CC4D62F1237F8</vt:lpwstr>
  </property>
  <property fmtid="{D5CDD505-2E9C-101B-9397-08002B2CF9AE}" pid="3" name="KSOProductBuildVer">
    <vt:lpwstr>2052-11.8.2.9022</vt:lpwstr>
  </property>
</Properties>
</file>