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rFonts w:ascii="Times New Roman" w:hAnsi="Times New Roman" w:cs="方正仿宋_GBK"/>
          <w:bCs/>
        </w:rPr>
      </w:pPr>
    </w:p>
    <w:p>
      <w:pPr>
        <w:adjustRightInd/>
        <w:spacing w:line="240" w:lineRule="auto"/>
        <w:rPr>
          <w:rFonts w:ascii="Times New Roman" w:hAnsi="Times New Roman" w:cs="方正仿宋_GBK"/>
          <w:bCs/>
        </w:rPr>
      </w:pPr>
    </w:p>
    <w:p>
      <w:pPr>
        <w:adjustRightInd/>
        <w:spacing w:line="240" w:lineRule="auto"/>
        <w:rPr>
          <w:rFonts w:ascii="Times New Roman" w:hAnsi="Times New Roman" w:cs="方正仿宋_GBK"/>
          <w:bCs/>
        </w:rPr>
      </w:pPr>
    </w:p>
    <w:p>
      <w:pPr>
        <w:adjustRightInd/>
        <w:spacing w:line="240" w:lineRule="auto"/>
        <w:rPr>
          <w:bCs/>
        </w:rPr>
      </w:pPr>
    </w:p>
    <w:p>
      <w:pPr>
        <w:adjustRightInd/>
        <w:spacing w:line="240" w:lineRule="auto"/>
        <w:rPr>
          <w:bCs/>
        </w:rPr>
      </w:pPr>
    </w:p>
    <w:p>
      <w:pPr>
        <w:adjustRightInd/>
        <w:spacing w:line="240" w:lineRule="auto"/>
        <w:jc w:val="center"/>
        <w:rPr>
          <w:rFonts w:eastAsia="宋体"/>
          <w:kern w:val="2"/>
        </w:rPr>
      </w:pPr>
    </w:p>
    <w:p>
      <w:pPr>
        <w:adjustRightInd/>
        <w:spacing w:line="240" w:lineRule="auto"/>
        <w:jc w:val="center"/>
        <w:rPr>
          <w:rFonts w:hint="eastAsia" w:eastAsia="方正仿宋_GBK" w:cs="方正仿宋_GBK"/>
          <w:kern w:val="2"/>
        </w:rPr>
      </w:pPr>
    </w:p>
    <w:p>
      <w:pPr>
        <w:adjustRightInd/>
        <w:spacing w:line="240" w:lineRule="auto"/>
        <w:jc w:val="both"/>
        <w:rPr>
          <w:rFonts w:hint="eastAsia" w:eastAsia="方正仿宋_GBK" w:cs="方正仿宋_GBK"/>
          <w:kern w:val="2"/>
        </w:rPr>
      </w:pPr>
    </w:p>
    <w:p>
      <w:pPr>
        <w:adjustRightInd/>
        <w:spacing w:line="240" w:lineRule="auto"/>
        <w:jc w:val="center"/>
        <w:rPr>
          <w:rFonts w:hint="eastAsia" w:cs="方正仿宋_GBK"/>
          <w:bCs/>
        </w:rPr>
      </w:pPr>
      <w:r>
        <w:rPr>
          <w:rFonts w:hint="eastAsia" w:eastAsia="方正仿宋_GBK" w:cs="方正仿宋_GBK"/>
          <w:vanish w:val="0"/>
          <w:kern w:val="2"/>
        </w:rPr>
        <w:t>渝发改国防〔2022〕732号</w:t>
      </w:r>
    </w:p>
    <w:p>
      <w:pPr>
        <w:adjustRightInd/>
        <w:spacing w:line="240" w:lineRule="auto"/>
        <w:jc w:val="center"/>
        <w:rPr>
          <w:bCs/>
        </w:rPr>
      </w:pPr>
    </w:p>
    <w:p>
      <w:pPr>
        <w:adjustRightInd/>
        <w:spacing w:after="0" w:line="240" w:lineRule="auto"/>
        <w:jc w:val="center"/>
        <w:textAlignment w:val="auto"/>
        <w:rPr>
          <w:rFonts w:eastAsia="方正小标宋_GBK"/>
          <w:kern w:val="2"/>
          <w:sz w:val="44"/>
          <w:szCs w:val="44"/>
        </w:rPr>
      </w:pPr>
      <w:bookmarkStart w:id="0" w:name="正文"/>
      <w:bookmarkEnd w:id="0"/>
    </w:p>
    <w:p>
      <w:pPr>
        <w:adjustRightInd/>
        <w:spacing w:after="0" w:line="580" w:lineRule="exact"/>
        <w:jc w:val="center"/>
        <w:textAlignment w:val="auto"/>
        <w:rPr>
          <w:rFonts w:eastAsia="方正小标宋_GBK"/>
          <w:kern w:val="2"/>
          <w:sz w:val="44"/>
          <w:szCs w:val="44"/>
        </w:rPr>
      </w:pPr>
      <w:bookmarkStart w:id="1" w:name="_GoBack"/>
      <w:r>
        <w:rPr>
          <w:rFonts w:hint="eastAsia" w:eastAsia="方正小标宋_GBK" w:cstheme="minorBidi"/>
          <w:kern w:val="2"/>
          <w:sz w:val="44"/>
          <w:szCs w:val="44"/>
        </w:rPr>
        <w:t>重庆市发展和改革委员会</w:t>
      </w:r>
    </w:p>
    <w:p>
      <w:pPr>
        <w:adjustRightInd/>
        <w:spacing w:after="0" w:line="580" w:lineRule="exact"/>
        <w:jc w:val="center"/>
        <w:textAlignment w:val="auto"/>
        <w:rPr>
          <w:rFonts w:eastAsia="方正小标宋_GBK"/>
          <w:kern w:val="2"/>
          <w:sz w:val="44"/>
          <w:szCs w:val="44"/>
        </w:rPr>
      </w:pPr>
      <w:r>
        <w:rPr>
          <w:rFonts w:hint="eastAsia" w:eastAsia="方正小标宋_GBK" w:cstheme="minorBidi"/>
          <w:kern w:val="2"/>
          <w:sz w:val="44"/>
          <w:szCs w:val="44"/>
        </w:rPr>
        <w:t>关于组织申报2022年度重庆市国民经济</w:t>
      </w:r>
    </w:p>
    <w:p>
      <w:pPr>
        <w:adjustRightInd/>
        <w:spacing w:after="0" w:line="580" w:lineRule="exact"/>
        <w:jc w:val="center"/>
        <w:textAlignment w:val="auto"/>
        <w:rPr>
          <w:rFonts w:eastAsia="方正小标宋_GBK"/>
          <w:kern w:val="2"/>
          <w:sz w:val="44"/>
          <w:szCs w:val="44"/>
        </w:rPr>
      </w:pPr>
      <w:r>
        <w:rPr>
          <w:rFonts w:hint="eastAsia" w:eastAsia="方正小标宋_GBK" w:cstheme="minorBidi"/>
          <w:kern w:val="2"/>
          <w:sz w:val="44"/>
          <w:szCs w:val="44"/>
        </w:rPr>
        <w:t>动员中心和保障队伍的通知</w:t>
      </w:r>
    </w:p>
    <w:bookmarkEnd w:id="1"/>
    <w:p>
      <w:pPr>
        <w:overflowPunct w:val="0"/>
        <w:adjustRightInd/>
        <w:spacing w:after="0" w:line="240" w:lineRule="auto"/>
        <w:ind w:firstLine="632" w:firstLineChars="200"/>
        <w:jc w:val="both"/>
        <w:textAlignment w:val="auto"/>
        <w:rPr>
          <w:rFonts w:eastAsia="方正小标宋_GBK"/>
          <w:kern w:val="2"/>
        </w:rPr>
      </w:pPr>
    </w:p>
    <w:p>
      <w:pPr>
        <w:pStyle w:val="8"/>
        <w:overflowPunct w:val="0"/>
        <w:adjustRightInd/>
        <w:spacing w:after="0" w:line="520" w:lineRule="exact"/>
        <w:ind w:firstLine="0" w:firstLineChars="0"/>
        <w:jc w:val="both"/>
        <w:textAlignment w:val="auto"/>
        <w:rPr>
          <w:rFonts w:hint="eastAsia" w:ascii="Times New Roman" w:hAnsi="Times New Roman"/>
        </w:rPr>
      </w:pPr>
      <w:r>
        <w:rPr>
          <w:rFonts w:hint="eastAsia" w:ascii="Times New Roman" w:hAnsi="Times New Roman"/>
        </w:rPr>
        <w:t>各区县（自治县）发展改革委、两江新区经济运行局、重庆高新区改革发展局、万盛经开区发展改革局：</w:t>
      </w:r>
    </w:p>
    <w:p>
      <w:pPr>
        <w:pStyle w:val="8"/>
        <w:overflowPunct w:val="0"/>
        <w:adjustRightInd/>
        <w:spacing w:after="0" w:line="520" w:lineRule="exact"/>
        <w:ind w:firstLine="632" w:firstLineChars="200"/>
        <w:jc w:val="both"/>
        <w:textAlignment w:val="baseline"/>
        <w:rPr>
          <w:rFonts w:ascii="Times New Roman" w:hAnsi="Times New Roman"/>
        </w:rPr>
      </w:pPr>
      <w:r>
        <w:rPr>
          <w:rFonts w:hint="eastAsia" w:ascii="Times New Roman" w:hAnsi="Times New Roman"/>
        </w:rPr>
        <w:t>国民经济动员中心（以下简称“动员中心”）和保障队伍是为应对战争和突发事件，在国民经济动员的重点领域和方向，依托具有代表性的企事业单位和其他社会组织设立的，承担国民经济动员任务的专业力量。加强动员中心和保障队伍建设，是贯彻落实习总书记提出“构建军民一体化的国家战略体系和能力”的具体举措。为切实加强全市国民经济动员专业力量建设，进一步提高国民经济动员保障能力，推动全市国民经济动员工作不断深入发展，按照全市军民融合发展“十四五”规划和国民经济动员2022年工作计划，我委将组织开展市级国民经济动员中心和保障队伍申报工作，现将相关事项通知如下：</w:t>
      </w:r>
    </w:p>
    <w:p>
      <w:pPr>
        <w:overflowPunct w:val="0"/>
        <w:adjustRightInd/>
        <w:spacing w:after="0" w:line="520" w:lineRule="exact"/>
        <w:ind w:firstLine="632" w:firstLineChars="200"/>
        <w:jc w:val="both"/>
        <w:textAlignment w:val="auto"/>
        <w:rPr>
          <w:rFonts w:eastAsia="方正黑体_GBK"/>
          <w:kern w:val="2"/>
        </w:rPr>
      </w:pPr>
      <w:r>
        <w:rPr>
          <w:rFonts w:hint="eastAsia" w:eastAsia="方正黑体_GBK" w:cstheme="minorBidi"/>
          <w:kern w:val="2"/>
        </w:rPr>
        <w:t>一、申报条件</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申报动员中心和保障队伍建设的依托单位应具备以下基本条件：</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1</w:t>
      </w:r>
      <w:r>
        <w:rPr>
          <w:rFonts w:hint="eastAsia" w:ascii="Times New Roman" w:hAnsi="Times New Roman"/>
          <w:lang w:eastAsia="zh-CN"/>
        </w:rPr>
        <w:t>．</w:t>
      </w:r>
      <w:r>
        <w:rPr>
          <w:rFonts w:hint="eastAsia" w:ascii="Times New Roman" w:hAnsi="Times New Roman"/>
        </w:rPr>
        <w:t>所从事业务能够服务军事斗争，尤其针对高原高寒地区备战作战需要，属于国民经济动员能力建设的重点行业和领域，具有较好的区位优势，符合我市国民经济动员能力建设布局要求。</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2</w:t>
      </w:r>
      <w:r>
        <w:rPr>
          <w:rFonts w:hint="eastAsia" w:ascii="Times New Roman" w:hAnsi="Times New Roman"/>
          <w:lang w:eastAsia="zh-CN"/>
        </w:rPr>
        <w:t>．</w:t>
      </w:r>
      <w:r>
        <w:rPr>
          <w:rFonts w:hint="eastAsia" w:ascii="Times New Roman" w:hAnsi="Times New Roman"/>
        </w:rPr>
        <w:t>具有承担国民经济动员任务的综合实力和意愿，在相关行业和领域具有一定技术与市场领先优势。</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3</w:t>
      </w:r>
      <w:r>
        <w:rPr>
          <w:rFonts w:hint="eastAsia" w:ascii="Times New Roman" w:hAnsi="Times New Roman"/>
          <w:lang w:eastAsia="zh-CN"/>
        </w:rPr>
        <w:t>．</w:t>
      </w:r>
      <w:r>
        <w:rPr>
          <w:rFonts w:hint="eastAsia" w:ascii="Times New Roman" w:hAnsi="Times New Roman"/>
        </w:rPr>
        <w:t>拥有相应的动员能力，能够满足应战应急保障所需的装备物资、设施设备和专业保障人员，具有较好的快速反应能力。</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4</w:t>
      </w:r>
      <w:r>
        <w:rPr>
          <w:rFonts w:hint="eastAsia" w:ascii="Times New Roman" w:hAnsi="Times New Roman"/>
          <w:lang w:eastAsia="zh-CN"/>
        </w:rPr>
        <w:t>．</w:t>
      </w:r>
      <w:r>
        <w:rPr>
          <w:rFonts w:hint="eastAsia" w:ascii="Times New Roman" w:hAnsi="Times New Roman"/>
        </w:rPr>
        <w:t>优先从区县重点企业中遴选具备一定技术、规模优势的重点单位或组织作为动员中心建设主体。</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5</w:t>
      </w:r>
      <w:r>
        <w:rPr>
          <w:rFonts w:hint="eastAsia" w:ascii="Times New Roman" w:hAnsi="Times New Roman"/>
          <w:lang w:eastAsia="zh-CN"/>
        </w:rPr>
        <w:t>．</w:t>
      </w:r>
      <w:r>
        <w:rPr>
          <w:rFonts w:hint="eastAsia" w:ascii="Times New Roman" w:hAnsi="Times New Roman"/>
        </w:rPr>
        <w:t>能够积极履行动员义务，主动承担动员任务。</w:t>
      </w:r>
    </w:p>
    <w:p>
      <w:pPr>
        <w:pStyle w:val="8"/>
        <w:overflowPunct w:val="0"/>
        <w:adjustRightInd/>
        <w:spacing w:after="0" w:line="520" w:lineRule="exact"/>
        <w:ind w:firstLine="632" w:firstLineChars="200"/>
        <w:jc w:val="both"/>
        <w:textAlignment w:val="auto"/>
        <w:rPr>
          <w:rFonts w:hint="eastAsia" w:ascii="Times New Roman" w:hAnsi="Times New Roman" w:eastAsia="方正黑体_GBK" w:cs="方正黑体_GBK"/>
        </w:rPr>
      </w:pPr>
      <w:r>
        <w:rPr>
          <w:rFonts w:hint="eastAsia" w:ascii="Times New Roman" w:hAnsi="Times New Roman" w:eastAsia="方正黑体_GBK" w:cs="方正黑体_GBK"/>
        </w:rPr>
        <w:t>二、建设方向</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结合军事需求和重庆可能担负的经济动员任务，2022年度动员中心和保障队伍重点关注但不限于以下几个方面：</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1</w:t>
      </w:r>
      <w:r>
        <w:rPr>
          <w:rFonts w:hint="eastAsia" w:ascii="Times New Roman" w:hAnsi="Times New Roman"/>
          <w:lang w:eastAsia="zh-CN"/>
        </w:rPr>
        <w:t>．</w:t>
      </w:r>
      <w:r>
        <w:rPr>
          <w:rFonts w:hint="eastAsia" w:ascii="Times New Roman" w:hAnsi="Times New Roman"/>
        </w:rPr>
        <w:t>动员中心重点围绕无人机末端投送、药品器材、抢修抢建、装配式建筑等领域；</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2</w:t>
      </w:r>
      <w:r>
        <w:rPr>
          <w:rFonts w:hint="eastAsia" w:ascii="Times New Roman" w:hAnsi="Times New Roman"/>
          <w:lang w:eastAsia="zh-CN"/>
        </w:rPr>
        <w:t>．</w:t>
      </w:r>
      <w:r>
        <w:rPr>
          <w:rFonts w:hint="eastAsia" w:ascii="Times New Roman" w:hAnsi="Times New Roman"/>
        </w:rPr>
        <w:t>保障队伍重点围绕特种车辆维修、通信装备维修等领域。</w:t>
      </w:r>
    </w:p>
    <w:p>
      <w:pPr>
        <w:overflowPunct w:val="0"/>
        <w:adjustRightInd/>
        <w:spacing w:after="0" w:line="520" w:lineRule="exact"/>
        <w:ind w:firstLine="632" w:firstLineChars="200"/>
        <w:jc w:val="both"/>
        <w:textAlignment w:val="auto"/>
        <w:rPr>
          <w:rFonts w:eastAsia="方正黑体_GBK"/>
          <w:kern w:val="2"/>
        </w:rPr>
      </w:pPr>
      <w:r>
        <w:rPr>
          <w:rFonts w:hint="eastAsia" w:eastAsia="方正黑体_GBK" w:cstheme="minorBidi"/>
          <w:kern w:val="2"/>
        </w:rPr>
        <w:t>三、工作安排</w:t>
      </w: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cs="方正仿宋_GBK"/>
        </w:rPr>
        <w:t>1</w:t>
      </w:r>
      <w:r>
        <w:rPr>
          <w:rFonts w:hint="eastAsia" w:ascii="Times New Roman" w:hAnsi="Times New Roman" w:cs="方正仿宋_GBK"/>
          <w:lang w:eastAsia="zh-CN"/>
        </w:rPr>
        <w:t>．</w:t>
      </w:r>
      <w:r>
        <w:rPr>
          <w:rFonts w:hint="eastAsia" w:ascii="Times New Roman" w:hAnsi="Times New Roman" w:eastAsia="方正仿宋_GBK" w:cs="方正仿宋_GBK"/>
          <w:kern w:val="2"/>
        </w:rPr>
        <w:t>强化组织实施。</w:t>
      </w:r>
      <w:r>
        <w:rPr>
          <w:rFonts w:hint="eastAsia" w:ascii="Times New Roman" w:hAnsi="Times New Roman" w:cs="方正仿宋_GBK"/>
        </w:rPr>
        <w:t>本</w:t>
      </w:r>
      <w:r>
        <w:rPr>
          <w:rFonts w:hint="eastAsia" w:ascii="Times New Roman" w:hAnsi="Times New Roman"/>
        </w:rPr>
        <w:t>次申报截止日期为2022年7月1日，请各区县发展改革委高度重视，精心组织申报工作，在广泛摸底、全面掌握本辖区动员潜力的基础上，积极动员辖区内符合条件的企业进行申报，并按照附件格式提供申报材料，于7月1日前将正式申请、企业申报材料报送我委（电子版请通过全市发展改革浪潮内网系统邮箱发送至经济国防处）。各区县发展改革委要加强对申报材料的审核把关，并对审核结果负责。</w:t>
      </w:r>
    </w:p>
    <w:p>
      <w:pPr>
        <w:pStyle w:val="8"/>
        <w:overflowPunct w:val="0"/>
        <w:adjustRightInd/>
        <w:spacing w:after="0" w:line="520" w:lineRule="exact"/>
        <w:ind w:firstLine="632" w:firstLineChars="200"/>
        <w:jc w:val="both"/>
        <w:textAlignment w:val="auto"/>
        <w:rPr>
          <w:rFonts w:hint="eastAsia" w:ascii="Times New Roman" w:hAnsi="Times New Roman"/>
        </w:rPr>
      </w:pPr>
      <w:r>
        <w:rPr>
          <w:rFonts w:hint="eastAsia" w:ascii="Times New Roman" w:hAnsi="Times New Roman" w:cs="方正仿宋_GBK"/>
        </w:rPr>
        <w:t>2</w:t>
      </w:r>
      <w:r>
        <w:rPr>
          <w:rFonts w:hint="eastAsia" w:ascii="Times New Roman" w:hAnsi="Times New Roman" w:cs="方正仿宋_GBK"/>
          <w:lang w:eastAsia="zh-CN"/>
        </w:rPr>
        <w:t>．</w:t>
      </w:r>
      <w:r>
        <w:rPr>
          <w:rFonts w:hint="eastAsia" w:ascii="Times New Roman" w:hAnsi="Times New Roman" w:eastAsia="方正仿宋_GBK" w:cs="方正仿宋_GBK"/>
          <w:kern w:val="0"/>
        </w:rPr>
        <w:t>规范申报程序。</w:t>
      </w:r>
      <w:r>
        <w:rPr>
          <w:rFonts w:hint="eastAsia" w:ascii="Times New Roman" w:hAnsi="Times New Roman"/>
        </w:rPr>
        <w:t>动员中心和保障队伍申报由我委组织开展评审工作，对符合申报条件的建设主体，我委将择优共同进一步完善建设方案。建设方案确定后，由我委与建设主体签订相关合同并组织验收，验收通过后进行批准设立、命名授牌，并按照相关规定，安排适当经费支持动员中心和保障队伍的建设和运行。</w:t>
      </w:r>
    </w:p>
    <w:p>
      <w:pPr>
        <w:pStyle w:val="8"/>
        <w:overflowPunct w:val="0"/>
        <w:adjustRightInd/>
        <w:spacing w:after="0" w:line="520" w:lineRule="exact"/>
        <w:ind w:firstLine="632" w:firstLineChars="200"/>
        <w:jc w:val="both"/>
        <w:textAlignment w:val="auto"/>
        <w:rPr>
          <w:rFonts w:hint="eastAsia" w:ascii="Times New Roman" w:hAnsi="Times New Roman"/>
          <w:kern w:val="2"/>
        </w:rPr>
      </w:pPr>
      <w:r>
        <w:rPr>
          <w:rFonts w:hint="eastAsia" w:ascii="Times New Roman" w:hAnsi="Times New Roman" w:cs="方正仿宋_GBK"/>
        </w:rPr>
        <w:t>3</w:t>
      </w:r>
      <w:r>
        <w:rPr>
          <w:rFonts w:hint="eastAsia" w:ascii="Times New Roman" w:hAnsi="Times New Roman" w:cs="方正仿宋_GBK"/>
          <w:lang w:eastAsia="zh-CN"/>
        </w:rPr>
        <w:t>．</w:t>
      </w:r>
      <w:r>
        <w:rPr>
          <w:rFonts w:hint="eastAsia" w:ascii="Times New Roman" w:hAnsi="Times New Roman" w:eastAsia="方正仿宋_GBK" w:cs="方正仿宋_GBK"/>
          <w:kern w:val="0"/>
        </w:rPr>
        <w:t>严格保密要求。专业力量建设</w:t>
      </w:r>
      <w:r>
        <w:rPr>
          <w:rFonts w:hint="eastAsia" w:ascii="Times New Roman" w:hAnsi="Times New Roman" w:cstheme="minorBidi"/>
          <w:kern w:val="2"/>
        </w:rPr>
        <w:t>工作</w:t>
      </w:r>
      <w:r>
        <w:rPr>
          <w:rFonts w:hint="eastAsia" w:ascii="Times New Roman" w:hAnsi="Times New Roman"/>
        </w:rPr>
        <w:t>不涉密，但建设的具体内容需要保密，请各区县发展改革委督促相关企业严格做好保密管理</w:t>
      </w:r>
      <w:r>
        <w:rPr>
          <w:rFonts w:hint="eastAsia" w:ascii="Times New Roman" w:hAnsi="Times New Roman" w:cstheme="minorBidi"/>
          <w:kern w:val="2"/>
        </w:rPr>
        <w:t>工作，申报材料必须按照涉密文件进行定密、管理和报送。</w:t>
      </w:r>
    </w:p>
    <w:p>
      <w:pPr>
        <w:pStyle w:val="8"/>
        <w:overflowPunct w:val="0"/>
        <w:adjustRightInd/>
        <w:spacing w:after="0" w:line="520" w:lineRule="exact"/>
        <w:ind w:firstLine="632" w:firstLineChars="200"/>
        <w:jc w:val="both"/>
        <w:textAlignment w:val="auto"/>
        <w:rPr>
          <w:rFonts w:ascii="Times New Roman" w:hAnsi="Times New Roman"/>
        </w:rPr>
      </w:pPr>
    </w:p>
    <w:p>
      <w:pPr>
        <w:pStyle w:val="8"/>
        <w:overflowPunct w:val="0"/>
        <w:adjustRightInd/>
        <w:spacing w:after="0" w:line="520" w:lineRule="exact"/>
        <w:ind w:firstLine="632" w:firstLineChars="200"/>
        <w:jc w:val="both"/>
        <w:textAlignment w:val="auto"/>
        <w:rPr>
          <w:rFonts w:ascii="Times New Roman" w:hAnsi="Times New Roman"/>
        </w:rPr>
      </w:pPr>
      <w:r>
        <w:rPr>
          <w:rFonts w:hint="eastAsia" w:ascii="Times New Roman" w:hAnsi="Times New Roman"/>
        </w:rPr>
        <w:t>附件：申报材料模板</w:t>
      </w:r>
    </w:p>
    <w:p>
      <w:pPr>
        <w:overflowPunct w:val="0"/>
        <w:adjustRightInd/>
        <w:spacing w:after="0" w:line="520" w:lineRule="exact"/>
        <w:ind w:firstLine="632" w:firstLineChars="200"/>
        <w:jc w:val="both"/>
        <w:textAlignment w:val="auto"/>
        <w:rPr>
          <w:kern w:val="2"/>
        </w:rPr>
      </w:pPr>
    </w:p>
    <w:p>
      <w:pPr>
        <w:overflowPunct w:val="0"/>
        <w:adjustRightInd/>
        <w:spacing w:after="0" w:line="520" w:lineRule="exact"/>
        <w:ind w:firstLine="632" w:firstLineChars="200"/>
        <w:jc w:val="both"/>
        <w:textAlignment w:val="auto"/>
        <w:rPr>
          <w:kern w:val="2"/>
        </w:rPr>
      </w:pPr>
    </w:p>
    <w:p>
      <w:pPr>
        <w:overflowPunct w:val="0"/>
        <w:adjustRightInd/>
        <w:spacing w:after="0" w:line="520" w:lineRule="exact"/>
        <w:ind w:firstLine="632" w:firstLineChars="200"/>
        <w:jc w:val="both"/>
        <w:textAlignment w:val="auto"/>
        <w:rPr>
          <w:kern w:val="2"/>
        </w:rPr>
      </w:pPr>
    </w:p>
    <w:p>
      <w:pPr>
        <w:wordWrap/>
        <w:overflowPunct w:val="0"/>
        <w:adjustRightInd/>
        <w:spacing w:after="0" w:line="520" w:lineRule="exact"/>
        <w:ind w:firstLine="4721" w:firstLineChars="1494"/>
        <w:jc w:val="both"/>
        <w:textAlignment w:val="auto"/>
        <w:rPr>
          <w:kern w:val="2"/>
        </w:rPr>
      </w:pPr>
      <w:r>
        <w:rPr>
          <w:rFonts w:hint="eastAsia" w:cstheme="minorBidi"/>
          <w:kern w:val="2"/>
        </w:rPr>
        <w:t>重庆市发展和改革委员会</w:t>
      </w:r>
    </w:p>
    <w:p>
      <w:pPr>
        <w:overflowPunct w:val="0"/>
        <w:adjustRightInd/>
        <w:spacing w:after="0" w:line="520" w:lineRule="exact"/>
        <w:ind w:firstLine="5220" w:firstLineChars="1652"/>
        <w:jc w:val="both"/>
        <w:textAlignment w:val="auto"/>
        <w:rPr>
          <w:rFonts w:hint="default" w:eastAsia="方正仿宋_GBK"/>
          <w:kern w:val="2"/>
          <w:lang w:val="en-US" w:eastAsia="zh-CN"/>
        </w:rPr>
      </w:pPr>
      <w:r>
        <w:rPr>
          <w:rFonts w:hint="eastAsia" w:cstheme="minorBidi"/>
          <w:kern w:val="2"/>
        </w:rPr>
        <w:t>2022年6月</w:t>
      </w:r>
      <w:r>
        <w:rPr>
          <w:rFonts w:hint="eastAsia" w:cstheme="minorBidi"/>
          <w:kern w:val="2"/>
          <w:lang w:val="en-US" w:eastAsia="zh-CN"/>
        </w:rPr>
        <w:t>10</w:t>
      </w:r>
      <w:r>
        <w:rPr>
          <w:rFonts w:hint="eastAsia" w:cstheme="minorBidi"/>
          <w:kern w:val="2"/>
        </w:rPr>
        <w:t>日</w:t>
      </w:r>
      <w:r>
        <w:rPr>
          <w:rFonts w:hint="eastAsia" w:cstheme="minorBidi"/>
          <w:kern w:val="2"/>
          <w:lang w:val="en-US" w:eastAsia="zh-CN"/>
        </w:rPr>
        <w:t xml:space="preserve">        </w:t>
      </w:r>
    </w:p>
    <w:p>
      <w:pPr>
        <w:overflowPunct w:val="0"/>
        <w:adjustRightInd/>
        <w:spacing w:after="0" w:line="520" w:lineRule="exact"/>
        <w:ind w:right="0" w:firstLine="632" w:firstLineChars="200"/>
        <w:jc w:val="both"/>
        <w:textAlignment w:val="auto"/>
        <w:rPr>
          <w:rFonts w:hint="eastAsia" w:cstheme="minorBidi"/>
          <w:kern w:val="2"/>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r>
        <w:rPr>
          <w:rFonts w:hint="eastAsia" w:cstheme="minorBidi"/>
          <w:kern w:val="2"/>
        </w:rPr>
        <w:t>（联系人：吴晗；联系电话：</w:t>
      </w:r>
      <w:r>
        <w:rPr>
          <w:rFonts w:cstheme="minorBidi"/>
          <w:kern w:val="2"/>
        </w:rPr>
        <w:t>67</w:t>
      </w:r>
      <w:r>
        <w:rPr>
          <w:rFonts w:hint="eastAsia" w:cstheme="minorBidi"/>
          <w:kern w:val="2"/>
        </w:rPr>
        <w:t>575649，</w:t>
      </w:r>
      <w:r>
        <w:rPr>
          <w:rFonts w:cstheme="minorBidi"/>
          <w:kern w:val="2"/>
        </w:rPr>
        <w:t>1</w:t>
      </w:r>
      <w:r>
        <w:rPr>
          <w:rFonts w:hint="eastAsia" w:cstheme="minorBidi"/>
          <w:kern w:val="2"/>
        </w:rPr>
        <w:t>3709443798）</w:t>
      </w:r>
    </w:p>
    <w:p>
      <w:pPr>
        <w:adjustRightInd/>
        <w:spacing w:after="0" w:line="240" w:lineRule="auto"/>
        <w:ind w:right="0"/>
        <w:jc w:val="left"/>
        <w:textAlignment w:val="auto"/>
        <w:rPr>
          <w:rFonts w:eastAsia="方正黑体_GBK"/>
          <w:kern w:val="2"/>
        </w:rPr>
      </w:pPr>
      <w:r>
        <w:rPr>
          <w:rFonts w:hint="eastAsia" w:eastAsia="方正黑体_GBK" w:cstheme="minorBidi"/>
          <w:kern w:val="2"/>
        </w:rPr>
        <w:t>附件</w:t>
      </w:r>
    </w:p>
    <w:p>
      <w:pPr>
        <w:adjustRightInd/>
        <w:spacing w:after="0" w:line="240" w:lineRule="auto"/>
        <w:ind w:right="0"/>
        <w:jc w:val="left"/>
        <w:textAlignment w:val="auto"/>
        <w:rPr>
          <w:kern w:val="2"/>
        </w:rPr>
      </w:pPr>
    </w:p>
    <w:p>
      <w:pPr>
        <w:adjustRightInd/>
        <w:spacing w:after="0" w:line="580" w:lineRule="exact"/>
        <w:ind w:right="0"/>
        <w:jc w:val="center"/>
        <w:textAlignment w:val="auto"/>
        <w:rPr>
          <w:rFonts w:eastAsia="方正小标宋_GBK"/>
          <w:kern w:val="2"/>
          <w:sz w:val="44"/>
          <w:szCs w:val="44"/>
        </w:rPr>
      </w:pPr>
      <w:r>
        <w:rPr>
          <w:rFonts w:hint="eastAsia" w:eastAsia="方正小标宋_GBK" w:cstheme="minorBidi"/>
          <w:kern w:val="2"/>
          <w:sz w:val="44"/>
          <w:szCs w:val="44"/>
        </w:rPr>
        <w:t>申报材料模板</w:t>
      </w:r>
    </w:p>
    <w:p>
      <w:pPr>
        <w:adjustRightInd/>
        <w:spacing w:after="0" w:line="240" w:lineRule="auto"/>
        <w:ind w:right="0"/>
        <w:jc w:val="left"/>
        <w:textAlignment w:val="auto"/>
        <w:rPr>
          <w:kern w:val="2"/>
        </w:rPr>
      </w:pPr>
    </w:p>
    <w:p>
      <w:pPr>
        <w:overflowPunct w:val="0"/>
        <w:adjustRightInd/>
        <w:spacing w:after="0" w:line="240" w:lineRule="auto"/>
        <w:ind w:firstLine="632" w:firstLineChars="200"/>
        <w:jc w:val="both"/>
        <w:textAlignment w:val="auto"/>
        <w:rPr>
          <w:rFonts w:eastAsia="方正黑体_GBK"/>
          <w:kern w:val="2"/>
        </w:rPr>
      </w:pPr>
      <w:r>
        <w:rPr>
          <w:rFonts w:hint="eastAsia" w:eastAsia="方正黑体_GBK" w:cstheme="minorBidi"/>
          <w:kern w:val="2"/>
        </w:rPr>
        <w:t>一、动员中心依托单位基本情况</w:t>
      </w:r>
    </w:p>
    <w:p>
      <w:pPr>
        <w:overflowPunct w:val="0"/>
        <w:adjustRightInd/>
        <w:spacing w:after="0" w:line="240" w:lineRule="auto"/>
        <w:ind w:firstLine="632" w:firstLineChars="200"/>
        <w:jc w:val="both"/>
        <w:textAlignment w:val="auto"/>
        <w:rPr>
          <w:kern w:val="2"/>
        </w:rPr>
      </w:pPr>
      <w:r>
        <w:rPr>
          <w:rFonts w:hint="eastAsia" w:cstheme="minorBidi"/>
          <w:kern w:val="2"/>
        </w:rPr>
        <w:t>1</w:t>
      </w:r>
      <w:r>
        <w:rPr>
          <w:rFonts w:hint="eastAsia" w:cstheme="minorBidi"/>
          <w:kern w:val="2"/>
          <w:lang w:eastAsia="zh-CN"/>
        </w:rPr>
        <w:t>．</w:t>
      </w:r>
      <w:r>
        <w:rPr>
          <w:rFonts w:hint="eastAsia" w:cstheme="minorBidi"/>
          <w:kern w:val="2"/>
        </w:rPr>
        <w:t>单位名称</w:t>
      </w:r>
    </w:p>
    <w:p>
      <w:pPr>
        <w:overflowPunct w:val="0"/>
        <w:adjustRightInd/>
        <w:spacing w:after="0" w:line="240" w:lineRule="auto"/>
        <w:ind w:firstLine="632" w:firstLineChars="200"/>
        <w:jc w:val="both"/>
        <w:textAlignment w:val="auto"/>
        <w:rPr>
          <w:kern w:val="2"/>
        </w:rPr>
      </w:pPr>
      <w:r>
        <w:rPr>
          <w:rFonts w:hint="eastAsia" w:cstheme="minorBidi"/>
          <w:kern w:val="2"/>
        </w:rPr>
        <w:t>2</w:t>
      </w:r>
      <w:r>
        <w:rPr>
          <w:rFonts w:hint="eastAsia" w:cstheme="minorBidi"/>
          <w:kern w:val="2"/>
          <w:lang w:eastAsia="zh-CN"/>
        </w:rPr>
        <w:t>．</w:t>
      </w:r>
      <w:r>
        <w:rPr>
          <w:rFonts w:hint="eastAsia" w:cstheme="minorBidi"/>
          <w:kern w:val="2"/>
        </w:rPr>
        <w:t>法定代表人</w:t>
      </w:r>
    </w:p>
    <w:p>
      <w:pPr>
        <w:overflowPunct w:val="0"/>
        <w:adjustRightInd/>
        <w:spacing w:after="0" w:line="240" w:lineRule="auto"/>
        <w:ind w:firstLine="632" w:firstLineChars="200"/>
        <w:jc w:val="both"/>
        <w:textAlignment w:val="auto"/>
        <w:rPr>
          <w:kern w:val="2"/>
        </w:rPr>
      </w:pPr>
      <w:r>
        <w:rPr>
          <w:rFonts w:hint="eastAsia" w:cstheme="minorBidi"/>
          <w:kern w:val="2"/>
        </w:rPr>
        <w:t>3</w:t>
      </w:r>
      <w:r>
        <w:rPr>
          <w:rFonts w:hint="eastAsia" w:cstheme="minorBidi"/>
          <w:kern w:val="2"/>
          <w:lang w:eastAsia="zh-CN"/>
        </w:rPr>
        <w:t>．</w:t>
      </w:r>
      <w:r>
        <w:rPr>
          <w:rFonts w:hint="eastAsia" w:cstheme="minorBidi"/>
          <w:kern w:val="2"/>
        </w:rPr>
        <w:t>项目负责人、项目联系人及联系电话</w:t>
      </w:r>
    </w:p>
    <w:p>
      <w:pPr>
        <w:overflowPunct w:val="0"/>
        <w:adjustRightInd/>
        <w:spacing w:after="0" w:line="240" w:lineRule="auto"/>
        <w:ind w:firstLine="632" w:firstLineChars="200"/>
        <w:jc w:val="both"/>
        <w:textAlignment w:val="auto"/>
        <w:rPr>
          <w:kern w:val="2"/>
        </w:rPr>
      </w:pPr>
      <w:r>
        <w:rPr>
          <w:rFonts w:hint="eastAsia" w:cstheme="minorBidi"/>
          <w:kern w:val="2"/>
        </w:rPr>
        <w:t>4</w:t>
      </w:r>
      <w:r>
        <w:rPr>
          <w:rFonts w:hint="eastAsia" w:cstheme="minorBidi"/>
          <w:kern w:val="2"/>
          <w:lang w:eastAsia="zh-CN"/>
        </w:rPr>
        <w:t>．</w:t>
      </w:r>
      <w:r>
        <w:rPr>
          <w:rFonts w:hint="eastAsia" w:cstheme="minorBidi"/>
          <w:kern w:val="2"/>
        </w:rPr>
        <w:t>单位概况</w:t>
      </w:r>
    </w:p>
    <w:p>
      <w:pPr>
        <w:overflowPunct w:val="0"/>
        <w:adjustRightInd/>
        <w:spacing w:after="0" w:line="240" w:lineRule="auto"/>
        <w:ind w:firstLine="632" w:firstLineChars="200"/>
        <w:jc w:val="both"/>
        <w:textAlignment w:val="auto"/>
        <w:rPr>
          <w:kern w:val="2"/>
        </w:rPr>
      </w:pPr>
      <w:r>
        <w:rPr>
          <w:rFonts w:hint="eastAsia" w:cstheme="minorBidi"/>
          <w:kern w:val="2"/>
        </w:rPr>
        <w:t>单位性质、单位住所、主要业务领域及经营范围、经营规模、资产规模、财务状况、经济和社会效益情况等。</w:t>
      </w:r>
    </w:p>
    <w:p>
      <w:pPr>
        <w:overflowPunct w:val="0"/>
        <w:adjustRightInd/>
        <w:spacing w:after="0" w:line="240" w:lineRule="auto"/>
        <w:ind w:firstLine="632" w:firstLineChars="200"/>
        <w:jc w:val="both"/>
        <w:textAlignment w:val="auto"/>
        <w:rPr>
          <w:kern w:val="2"/>
        </w:rPr>
      </w:pPr>
      <w:r>
        <w:rPr>
          <w:rFonts w:hint="eastAsia" w:cstheme="minorBidi"/>
          <w:kern w:val="2"/>
        </w:rPr>
        <w:t>单位具备的与国民经济动员相关的生产、科研、经营等基本条件情况。</w:t>
      </w:r>
    </w:p>
    <w:p>
      <w:pPr>
        <w:overflowPunct w:val="0"/>
        <w:adjustRightInd/>
        <w:spacing w:after="0" w:line="240" w:lineRule="auto"/>
        <w:ind w:firstLine="632" w:firstLineChars="200"/>
        <w:jc w:val="both"/>
        <w:textAlignment w:val="auto"/>
        <w:rPr>
          <w:rFonts w:eastAsia="方正黑体_GBK"/>
          <w:kern w:val="2"/>
        </w:rPr>
      </w:pPr>
      <w:r>
        <w:rPr>
          <w:rFonts w:hint="eastAsia" w:eastAsia="方正黑体_GBK" w:cstheme="minorBidi"/>
          <w:kern w:val="2"/>
        </w:rPr>
        <w:t>二、动员中心建设的必要性</w:t>
      </w:r>
    </w:p>
    <w:p>
      <w:pPr>
        <w:overflowPunct w:val="0"/>
        <w:adjustRightInd/>
        <w:spacing w:after="0" w:line="240" w:lineRule="auto"/>
        <w:ind w:firstLine="632" w:firstLineChars="200"/>
        <w:jc w:val="both"/>
        <w:textAlignment w:val="auto"/>
        <w:rPr>
          <w:kern w:val="2"/>
        </w:rPr>
      </w:pPr>
      <w:r>
        <w:rPr>
          <w:rFonts w:hint="eastAsia" w:cstheme="minorBidi"/>
          <w:kern w:val="2"/>
        </w:rPr>
        <w:t>通过军事需求分析，结合本单位所处的行业、领域和地域，提出开展动员中心建设的必要性。</w:t>
      </w:r>
    </w:p>
    <w:p>
      <w:pPr>
        <w:overflowPunct w:val="0"/>
        <w:adjustRightInd/>
        <w:spacing w:after="0" w:line="240" w:lineRule="auto"/>
        <w:ind w:firstLine="632" w:firstLineChars="200"/>
        <w:jc w:val="both"/>
        <w:textAlignment w:val="auto"/>
        <w:rPr>
          <w:rFonts w:eastAsia="方正黑体_GBK"/>
          <w:kern w:val="2"/>
        </w:rPr>
      </w:pPr>
      <w:r>
        <w:rPr>
          <w:rFonts w:hint="eastAsia" w:eastAsia="方正黑体_GBK" w:cstheme="minorBidi"/>
          <w:kern w:val="2"/>
        </w:rPr>
        <w:t>三、动员中心职责和任务</w:t>
      </w:r>
    </w:p>
    <w:p>
      <w:pPr>
        <w:overflowPunct w:val="0"/>
        <w:adjustRightInd/>
        <w:spacing w:after="0" w:line="240" w:lineRule="auto"/>
        <w:ind w:firstLine="632" w:firstLineChars="200"/>
        <w:jc w:val="both"/>
        <w:textAlignment w:val="auto"/>
        <w:rPr>
          <w:kern w:val="2"/>
        </w:rPr>
      </w:pPr>
      <w:r>
        <w:rPr>
          <w:rFonts w:hint="eastAsia" w:cstheme="minorBidi"/>
          <w:kern w:val="2"/>
        </w:rPr>
        <w:t>1</w:t>
      </w:r>
      <w:r>
        <w:rPr>
          <w:rFonts w:hint="eastAsia" w:cstheme="minorBidi"/>
          <w:kern w:val="2"/>
          <w:lang w:eastAsia="zh-CN"/>
        </w:rPr>
        <w:t>．</w:t>
      </w:r>
      <w:r>
        <w:rPr>
          <w:rFonts w:hint="eastAsia" w:cstheme="minorBidi"/>
          <w:kern w:val="2"/>
        </w:rPr>
        <w:t>动员中心职责</w:t>
      </w:r>
    </w:p>
    <w:p>
      <w:pPr>
        <w:overflowPunct w:val="0"/>
        <w:adjustRightInd/>
        <w:spacing w:after="0" w:line="240" w:lineRule="auto"/>
        <w:ind w:firstLine="632" w:firstLineChars="200"/>
        <w:jc w:val="both"/>
        <w:textAlignment w:val="auto"/>
        <w:rPr>
          <w:kern w:val="2"/>
        </w:rPr>
      </w:pPr>
      <w:r>
        <w:rPr>
          <w:rFonts w:hint="eastAsia" w:cstheme="minorBidi"/>
          <w:kern w:val="2"/>
        </w:rPr>
        <w:t>2</w:t>
      </w:r>
      <w:r>
        <w:rPr>
          <w:rFonts w:hint="eastAsia" w:cstheme="minorBidi"/>
          <w:kern w:val="2"/>
          <w:lang w:eastAsia="zh-CN"/>
        </w:rPr>
        <w:t>．</w:t>
      </w:r>
      <w:r>
        <w:rPr>
          <w:rFonts w:hint="eastAsia" w:cstheme="minorBidi"/>
          <w:kern w:val="2"/>
        </w:rPr>
        <w:t>平时开展的主要动员准备工作</w:t>
      </w:r>
    </w:p>
    <w:p>
      <w:pPr>
        <w:overflowPunct w:val="0"/>
        <w:adjustRightInd/>
        <w:spacing w:after="0" w:line="240" w:lineRule="auto"/>
        <w:ind w:firstLine="632" w:firstLineChars="200"/>
        <w:jc w:val="both"/>
        <w:textAlignment w:val="auto"/>
        <w:rPr>
          <w:kern w:val="2"/>
        </w:rPr>
      </w:pPr>
      <w:r>
        <w:rPr>
          <w:rFonts w:hint="eastAsia" w:cstheme="minorBidi"/>
          <w:kern w:val="2"/>
        </w:rPr>
        <w:t>3</w:t>
      </w:r>
      <w:r>
        <w:rPr>
          <w:rFonts w:hint="eastAsia" w:cstheme="minorBidi"/>
          <w:kern w:val="2"/>
          <w:lang w:eastAsia="zh-CN"/>
        </w:rPr>
        <w:t>．</w:t>
      </w:r>
      <w:r>
        <w:rPr>
          <w:rFonts w:hint="eastAsia" w:cstheme="minorBidi"/>
          <w:kern w:val="2"/>
        </w:rPr>
        <w:t>战时动员任务</w:t>
      </w:r>
    </w:p>
    <w:p>
      <w:pPr>
        <w:overflowPunct w:val="0"/>
        <w:adjustRightInd/>
        <w:spacing w:after="0" w:line="240" w:lineRule="auto"/>
        <w:ind w:firstLine="632" w:firstLineChars="200"/>
        <w:jc w:val="both"/>
        <w:textAlignment w:val="auto"/>
        <w:rPr>
          <w:rFonts w:eastAsia="方正黑体_GBK"/>
          <w:kern w:val="2"/>
        </w:rPr>
      </w:pPr>
      <w:r>
        <w:rPr>
          <w:rFonts w:hint="eastAsia" w:eastAsia="方正黑体_GBK" w:cstheme="minorBidi"/>
          <w:kern w:val="2"/>
        </w:rPr>
        <w:t>四、动员中心建设目标</w:t>
      </w:r>
    </w:p>
    <w:p>
      <w:pPr>
        <w:overflowPunct w:val="0"/>
        <w:adjustRightInd/>
        <w:spacing w:after="0" w:line="240" w:lineRule="auto"/>
        <w:ind w:firstLine="632" w:firstLineChars="200"/>
        <w:jc w:val="both"/>
        <w:textAlignment w:val="auto"/>
        <w:rPr>
          <w:rFonts w:eastAsia="方正黑体_GBK"/>
          <w:kern w:val="2"/>
        </w:rPr>
      </w:pPr>
      <w:r>
        <w:rPr>
          <w:rFonts w:hint="eastAsia" w:eastAsia="方正黑体_GBK" w:cstheme="minorBidi"/>
          <w:kern w:val="2"/>
        </w:rPr>
        <w:t>五、动员中心建设内容</w:t>
      </w:r>
    </w:p>
    <w:p>
      <w:pPr>
        <w:overflowPunct w:val="0"/>
        <w:adjustRightInd/>
        <w:spacing w:after="0" w:line="240" w:lineRule="auto"/>
        <w:ind w:firstLine="632" w:firstLineChars="200"/>
        <w:jc w:val="both"/>
        <w:textAlignment w:val="auto"/>
        <w:rPr>
          <w:kern w:val="2"/>
        </w:rPr>
      </w:pPr>
      <w:r>
        <w:rPr>
          <w:rFonts w:hint="eastAsia" w:cstheme="minorBidi"/>
          <w:kern w:val="2"/>
        </w:rPr>
        <w:t>1</w:t>
      </w:r>
      <w:r>
        <w:rPr>
          <w:rFonts w:hint="eastAsia" w:cstheme="minorBidi"/>
          <w:kern w:val="2"/>
          <w:lang w:eastAsia="zh-CN"/>
        </w:rPr>
        <w:t>．</w:t>
      </w:r>
      <w:r>
        <w:rPr>
          <w:rFonts w:hint="eastAsia" w:cstheme="minorBidi"/>
          <w:kern w:val="2"/>
        </w:rPr>
        <w:t>利用条件</w:t>
      </w:r>
    </w:p>
    <w:p>
      <w:pPr>
        <w:overflowPunct w:val="0"/>
        <w:adjustRightInd/>
        <w:spacing w:after="0" w:line="240" w:lineRule="auto"/>
        <w:ind w:firstLine="632" w:firstLineChars="200"/>
        <w:jc w:val="both"/>
        <w:textAlignment w:val="auto"/>
        <w:rPr>
          <w:kern w:val="2"/>
        </w:rPr>
      </w:pPr>
      <w:r>
        <w:rPr>
          <w:rFonts w:hint="eastAsia" w:cstheme="minorBidi"/>
          <w:kern w:val="2"/>
        </w:rPr>
        <w:t>说明动员中心利用依托单位现有的生产、科研、经营等建筑物、场地、设施设备的数量和规模。</w:t>
      </w:r>
    </w:p>
    <w:p>
      <w:pPr>
        <w:overflowPunct w:val="0"/>
        <w:adjustRightInd/>
        <w:spacing w:after="0" w:line="240" w:lineRule="auto"/>
        <w:ind w:firstLine="632" w:firstLineChars="200"/>
        <w:jc w:val="both"/>
        <w:textAlignment w:val="auto"/>
        <w:rPr>
          <w:kern w:val="2"/>
        </w:rPr>
      </w:pPr>
      <w:r>
        <w:rPr>
          <w:rFonts w:hint="eastAsia" w:cstheme="minorBidi"/>
          <w:kern w:val="2"/>
        </w:rPr>
        <w:t>2</w:t>
      </w:r>
      <w:r>
        <w:rPr>
          <w:rFonts w:hint="eastAsia" w:cstheme="minorBidi"/>
          <w:kern w:val="2"/>
          <w:lang w:eastAsia="zh-CN"/>
        </w:rPr>
        <w:t>．</w:t>
      </w:r>
      <w:r>
        <w:rPr>
          <w:rFonts w:hint="eastAsia" w:cstheme="minorBidi"/>
          <w:kern w:val="2"/>
        </w:rPr>
        <w:t>新增条件</w:t>
      </w:r>
    </w:p>
    <w:p>
      <w:pPr>
        <w:overflowPunct w:val="0"/>
        <w:adjustRightInd/>
        <w:spacing w:after="0" w:line="240" w:lineRule="auto"/>
        <w:ind w:firstLine="632" w:firstLineChars="200"/>
        <w:jc w:val="both"/>
        <w:textAlignment w:val="auto"/>
        <w:rPr>
          <w:kern w:val="2"/>
        </w:rPr>
      </w:pPr>
      <w:r>
        <w:rPr>
          <w:rFonts w:hint="eastAsia" w:cstheme="minorBidi"/>
          <w:kern w:val="2"/>
        </w:rPr>
        <w:t>根据可能负担的动员任务，提出需补充和完善的动员工作条件和手段。</w:t>
      </w:r>
    </w:p>
    <w:p>
      <w:pPr>
        <w:overflowPunct w:val="0"/>
        <w:adjustRightInd/>
        <w:spacing w:after="0" w:line="240" w:lineRule="auto"/>
        <w:ind w:firstLine="632" w:firstLineChars="200"/>
        <w:jc w:val="both"/>
        <w:textAlignment w:val="auto"/>
        <w:rPr>
          <w:kern w:val="2"/>
        </w:rPr>
      </w:pPr>
      <w:r>
        <w:rPr>
          <w:rFonts w:hint="eastAsia" w:cstheme="minorBidi"/>
          <w:kern w:val="2"/>
        </w:rPr>
        <w:t>（不需新增，可不填报）</w:t>
      </w:r>
    </w:p>
    <w:p>
      <w:pPr>
        <w:overflowPunct w:val="0"/>
        <w:adjustRightInd/>
        <w:spacing w:after="0" w:line="240" w:lineRule="auto"/>
        <w:ind w:firstLine="632" w:firstLineChars="200"/>
        <w:jc w:val="both"/>
        <w:textAlignment w:val="auto"/>
        <w:rPr>
          <w:rFonts w:eastAsia="方正黑体_GBK"/>
          <w:kern w:val="2"/>
        </w:rPr>
      </w:pPr>
      <w:r>
        <w:rPr>
          <w:rFonts w:hint="eastAsia" w:eastAsia="方正黑体_GBK" w:cstheme="minorBidi"/>
          <w:kern w:val="2"/>
        </w:rPr>
        <w:t>六、动员中心的组织结构和人员规模</w:t>
      </w:r>
    </w:p>
    <w:p>
      <w:pPr>
        <w:overflowPunct w:val="0"/>
        <w:adjustRightInd/>
        <w:spacing w:after="0" w:line="240" w:lineRule="auto"/>
        <w:ind w:firstLine="632" w:firstLineChars="200"/>
        <w:jc w:val="both"/>
        <w:textAlignment w:val="auto"/>
        <w:rPr>
          <w:kern w:val="2"/>
        </w:rPr>
      </w:pPr>
      <w:r>
        <w:rPr>
          <w:rFonts w:hint="eastAsia" w:cstheme="minorBidi"/>
          <w:kern w:val="2"/>
        </w:rPr>
        <w:t>概述动员中心的组织管理体制，绘制动员中心组织结构示意图，说明动员中心的人员规模、基本素质和专业构成。</w:t>
      </w:r>
    </w:p>
    <w:p>
      <w:pPr>
        <w:overflowPunct w:val="0"/>
        <w:adjustRightInd/>
        <w:spacing w:after="0" w:line="240" w:lineRule="auto"/>
        <w:ind w:firstLine="632" w:firstLineChars="200"/>
        <w:jc w:val="both"/>
        <w:textAlignment w:val="auto"/>
        <w:rPr>
          <w:rFonts w:eastAsia="方正黑体_GBK"/>
          <w:kern w:val="2"/>
        </w:rPr>
      </w:pPr>
      <w:r>
        <w:rPr>
          <w:rFonts w:hint="eastAsia" w:eastAsia="方正黑体_GBK" w:cstheme="minorBidi"/>
          <w:kern w:val="2"/>
        </w:rPr>
        <w:t>七、效果分析</w:t>
      </w:r>
    </w:p>
    <w:p>
      <w:pPr>
        <w:overflowPunct w:val="0"/>
        <w:adjustRightInd/>
        <w:spacing w:after="0" w:line="240" w:lineRule="auto"/>
        <w:ind w:firstLine="632" w:firstLineChars="200"/>
        <w:jc w:val="both"/>
        <w:textAlignment w:val="auto"/>
        <w:rPr>
          <w:kern w:val="2"/>
        </w:rPr>
      </w:pPr>
      <w:r>
        <w:rPr>
          <w:rFonts w:hint="eastAsia" w:cstheme="minorBidi"/>
          <w:kern w:val="2"/>
        </w:rPr>
        <w:t>分析动员中心建成后对提高我市国民经济动员潜力和平战转换能力的作用和意义。</w:t>
      </w:r>
    </w:p>
    <w:p>
      <w:pPr>
        <w:overflowPunct w:val="0"/>
        <w:adjustRightInd/>
        <w:spacing w:after="0" w:line="240" w:lineRule="auto"/>
        <w:ind w:firstLine="632" w:firstLineChars="200"/>
        <w:jc w:val="both"/>
        <w:textAlignment w:val="auto"/>
        <w:rPr>
          <w:rFonts w:eastAsia="方正黑体_GBK"/>
          <w:kern w:val="2"/>
        </w:rPr>
      </w:pPr>
      <w:r>
        <w:rPr>
          <w:rFonts w:hint="eastAsia" w:eastAsia="方正黑体_GBK" w:cstheme="minorBidi"/>
          <w:kern w:val="2"/>
        </w:rPr>
        <w:t>八、其他需要说明的事项</w:t>
      </w:r>
    </w:p>
    <w:p>
      <w:pPr>
        <w:adjustRightInd/>
        <w:spacing w:after="0" w:line="240" w:lineRule="auto"/>
        <w:textAlignment w:val="auto"/>
        <w:rPr>
          <w:rFonts w:hint="eastAsia"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sectPr>
          <w:pgSz w:w="11906" w:h="16838"/>
          <w:pgMar w:top="2098" w:right="1531" w:bottom="1984" w:left="1531" w:header="851" w:footer="1417" w:gutter="0"/>
          <w:pgNumType w:fmt="decimal"/>
          <w:cols w:space="0" w:num="1"/>
          <w:rtlGutter w:val="0"/>
          <w:docGrid w:type="linesAndChars" w:linePitch="579" w:charSpace="-849"/>
        </w:sect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adjustRightInd/>
        <w:spacing w:after="0" w:line="240" w:lineRule="auto"/>
        <w:textAlignment w:val="auto"/>
        <w:rPr>
          <w:rFonts w:ascii="Times New Roman" w:hAnsi="Times New Roman" w:eastAsia="宋体"/>
          <w:kern w:val="2"/>
          <w:sz w:val="21"/>
          <w:szCs w:val="24"/>
        </w:rPr>
      </w:pPr>
    </w:p>
    <w:p>
      <w:pPr>
        <w:pBdr>
          <w:bottom w:val="none" w:color="auto" w:sz="0" w:space="0"/>
        </w:pBdr>
        <w:overflowPunct w:val="0"/>
        <w:adjustRightInd/>
        <w:spacing w:after="0" w:line="500" w:lineRule="exact"/>
        <w:textAlignment w:val="auto"/>
        <w:rPr>
          <w:rFonts w:ascii="Times New Roman" w:hAnsi="Times New Roman" w:eastAsia="宋体"/>
          <w:kern w:val="2"/>
          <w:sz w:val="21"/>
          <w:szCs w:val="24"/>
        </w:rPr>
      </w:pPr>
    </w:p>
    <w:p>
      <w:pPr>
        <w:pBdr>
          <w:top w:val="single" w:color="auto" w:sz="12" w:space="0"/>
          <w:bottom w:val="single" w:color="auto" w:sz="12" w:space="0"/>
        </w:pBdr>
        <w:adjustRightInd/>
        <w:spacing w:line="240" w:lineRule="auto"/>
        <w:ind w:firstLine="276" w:firstLineChars="100"/>
      </w:pPr>
      <w:r>
        <w:rPr>
          <w:rFonts w:hint="eastAsia"/>
          <w:sz w:val="28"/>
          <w:szCs w:val="28"/>
          <w:lang w:val="en-US" w:eastAsia="zh-CN"/>
        </w:rPr>
        <w:t xml:space="preserve">重庆市发展和改革委员会办公室             2022年6月10日印发  </w:t>
      </w:r>
    </w:p>
    <w:sectPr>
      <w:pgSz w:w="11906" w:h="16838"/>
      <w:pgMar w:top="2098" w:right="1531" w:bottom="1984" w:left="1531" w:header="851" w:footer="1417" w:gutter="0"/>
      <w:pgNumType w:fmt="decimal"/>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1</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402E288B"/>
    <w:rsid w:val="417E794A"/>
    <w:rsid w:val="45E47B16"/>
    <w:rsid w:val="47651902"/>
    <w:rsid w:val="477B47A9"/>
    <w:rsid w:val="49504D92"/>
    <w:rsid w:val="4A30398A"/>
    <w:rsid w:val="4A9F4CF0"/>
    <w:rsid w:val="4AC07792"/>
    <w:rsid w:val="4CE7092E"/>
    <w:rsid w:val="4E252DB9"/>
    <w:rsid w:val="5073301F"/>
    <w:rsid w:val="545424E6"/>
    <w:rsid w:val="54E47F11"/>
    <w:rsid w:val="55835057"/>
    <w:rsid w:val="57DB6B64"/>
    <w:rsid w:val="5BC50A62"/>
    <w:rsid w:val="60050F24"/>
    <w:rsid w:val="61561366"/>
    <w:rsid w:val="61580F05"/>
    <w:rsid w:val="6383212C"/>
    <w:rsid w:val="65E0558A"/>
    <w:rsid w:val="68DE1382"/>
    <w:rsid w:val="68E8683A"/>
    <w:rsid w:val="694D661D"/>
    <w:rsid w:val="696E3491"/>
    <w:rsid w:val="6AFF5937"/>
    <w:rsid w:val="6C3D2854"/>
    <w:rsid w:val="6E163EDE"/>
    <w:rsid w:val="726C3FD1"/>
    <w:rsid w:val="73815F4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paragraph" w:customStyle="1" w:styleId="8">
    <w:name w:val="1"/>
    <w:basedOn w:val="1"/>
    <w:link w:val="11"/>
    <w:qFormat/>
    <w:uiPriority w:val="0"/>
    <w:pPr>
      <w:spacing w:line="640" w:lineRule="exact"/>
    </w:pPr>
    <w:rPr>
      <w:rFonts w:ascii="方正仿宋_GBK" w:hAnsi="方正仿宋_GBK" w:eastAsia="方正仿宋_GBK"/>
      <w:sz w:val="32"/>
      <w:szCs w:val="32"/>
    </w:rPr>
  </w:style>
  <w:style w:type="character" w:customStyle="1" w:styleId="9">
    <w:name w:val="页脚 Char"/>
    <w:link w:val="3"/>
    <w:qFormat/>
    <w:uiPriority w:val="99"/>
    <w:rPr>
      <w:rFonts w:eastAsia="方正仿宋_GBK"/>
      <w:sz w:val="18"/>
      <w:szCs w:val="18"/>
    </w:rPr>
  </w:style>
  <w:style w:type="character" w:customStyle="1" w:styleId="10">
    <w:name w:val="页眉 Char"/>
    <w:link w:val="4"/>
    <w:qFormat/>
    <w:uiPriority w:val="0"/>
    <w:rPr>
      <w:rFonts w:eastAsia="方正仿宋_GBK"/>
      <w:sz w:val="18"/>
      <w:szCs w:val="18"/>
    </w:rPr>
  </w:style>
  <w:style w:type="character" w:customStyle="1" w:styleId="11">
    <w:name w:val="1 Char"/>
    <w:link w:val="8"/>
    <w:qFormat/>
    <w:uiPriority w:val="0"/>
    <w:rPr>
      <w:rFonts w:ascii="方正仿宋_GBK" w:hAnsi="方正仿宋_GBK" w:eastAsia="方正仿宋_GBK"/>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16</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2022-06-10T07:42:00Z</cp:lastPrinted>
  <dcterms:modified xsi:type="dcterms:W3CDTF">2022-06-13T02:30:36Z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