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ind w:right="1240"/>
        <w:rPr>
          <w:rFonts w:ascii="方正黑体_GBK" w:hAnsi="黑体" w:eastAsia="方正黑体_GBK"/>
          <w:bCs/>
        </w:rPr>
      </w:pPr>
    </w:p>
    <w:p>
      <w:pPr>
        <w:adjustRightInd/>
        <w:spacing w:line="240" w:lineRule="auto"/>
        <w:ind w:right="1240"/>
        <w:rPr>
          <w:rFonts w:ascii="方正黑体_GBK" w:hAnsi="黑体" w:eastAsia="方正黑体_GBK"/>
          <w:bCs/>
        </w:rPr>
      </w:pPr>
    </w:p>
    <w:p>
      <w:pPr>
        <w:adjustRightInd/>
        <w:spacing w:line="240" w:lineRule="auto"/>
        <w:rPr>
          <w:rFonts w:ascii="方正黑体_GBK" w:hAnsi="黑体" w:eastAsia="方正黑体_GBK"/>
          <w:bCs/>
        </w:rPr>
      </w:pPr>
      <w:bookmarkStart w:id="0" w:name="remove_shape_1"/>
    </w:p>
    <w:bookmarkEnd w:id="0"/>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jc w:val="center"/>
        <w:rPr>
          <w:rFonts w:hint="eastAsia" w:ascii="方正仿宋_GBK" w:hAnsi="方正仿宋_GBK" w:cs="方正仿宋_GBK"/>
          <w:bCs/>
        </w:rPr>
      </w:pPr>
      <w:bookmarkStart w:id="1" w:name="s"/>
      <w:bookmarkEnd w:id="1"/>
      <w:r>
        <w:rPr>
          <w:rFonts w:hint="eastAsia" w:ascii="方正仿宋_GBK" w:hAnsi="方正仿宋_GBK" w:eastAsia="方正仿宋_GBK" w:cs="方正仿宋_GBK"/>
          <w:vanish w:val="0"/>
          <w:kern w:val="2"/>
        </w:rPr>
        <w:t>渝能源油气〔</w:t>
      </w:r>
      <w:r>
        <w:rPr>
          <w:rFonts w:hint="default" w:eastAsia="方正仿宋_GBK"/>
          <w:vanish w:val="0"/>
          <w:kern w:val="2"/>
        </w:rPr>
        <w:t>2021</w:t>
      </w:r>
      <w:r>
        <w:rPr>
          <w:rFonts w:hint="eastAsia" w:ascii="方正仿宋_GBK" w:hAnsi="方正仿宋_GBK" w:eastAsia="方正仿宋_GBK" w:cs="方正仿宋_GBK"/>
          <w:vanish w:val="0"/>
          <w:kern w:val="2"/>
        </w:rPr>
        <w:t>〕</w:t>
      </w:r>
      <w:r>
        <w:rPr>
          <w:rFonts w:hint="default" w:eastAsia="方正仿宋_GBK"/>
          <w:vanish w:val="0"/>
          <w:kern w:val="2"/>
        </w:rPr>
        <w:t>121</w:t>
      </w:r>
      <w:r>
        <w:rPr>
          <w:rFonts w:hint="eastAsia" w:ascii="方正仿宋_GBK" w:hAnsi="方正仿宋_GBK" w:eastAsia="方正仿宋_GBK" w:cs="方正仿宋_GBK"/>
          <w:vanish w:val="0"/>
          <w:kern w:val="2"/>
        </w:rPr>
        <w:t>号</w:t>
      </w:r>
    </w:p>
    <w:p>
      <w:pPr>
        <w:adjustRightInd/>
        <w:spacing w:line="580" w:lineRule="exact"/>
        <w:jc w:val="center"/>
        <w:rPr>
          <w:bCs/>
        </w:rPr>
      </w:pPr>
    </w:p>
    <w:p>
      <w:pPr>
        <w:keepNext w:val="0"/>
        <w:keepLines w:val="0"/>
        <w:pageBreakBefore w:val="0"/>
        <w:kinsoku/>
        <w:wordWrap/>
        <w:overflowPunct/>
        <w:topLinePunct w:val="0"/>
        <w:autoSpaceDE/>
        <w:autoSpaceDN/>
        <w:bidi w:val="0"/>
        <w:adjustRightInd/>
        <w:snapToGrid/>
        <w:spacing w:after="0" w:line="580" w:lineRule="exact"/>
        <w:jc w:val="center"/>
        <w:rPr>
          <w:rFonts w:hint="eastAsia" w:ascii="方正小标宋_GBK" w:eastAsia="方正小标宋_GBK"/>
          <w:bCs/>
          <w:color w:val="010000"/>
          <w:sz w:val="44"/>
        </w:rPr>
      </w:pPr>
      <w:bookmarkStart w:id="2" w:name="正文"/>
      <w:bookmarkEnd w:id="2"/>
    </w:p>
    <w:p>
      <w:pPr>
        <w:adjustRightInd/>
        <w:spacing w:line="58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重庆市能源局</w:t>
      </w:r>
    </w:p>
    <w:p>
      <w:pPr>
        <w:keepNext w:val="0"/>
        <w:keepLines w:val="0"/>
        <w:pageBreakBefore w:val="0"/>
        <w:kinsoku/>
        <w:wordWrap/>
        <w:overflowPunct/>
        <w:topLinePunct w:val="0"/>
        <w:autoSpaceDE/>
        <w:autoSpaceDN/>
        <w:bidi w:val="0"/>
        <w:adjustRightInd/>
        <w:snapToGrid/>
        <w:spacing w:after="0" w:line="580" w:lineRule="exact"/>
        <w:jc w:val="center"/>
        <w:rPr>
          <w:rFonts w:hint="eastAsia" w:ascii="方正小标宋_GBK" w:eastAsia="方正小标宋_GBK"/>
          <w:bCs/>
          <w:color w:val="010000"/>
          <w:sz w:val="44"/>
        </w:rPr>
      </w:pPr>
      <w:r>
        <w:rPr>
          <w:rFonts w:hint="eastAsia" w:ascii="方正小标宋_GBK" w:eastAsia="方正小标宋_GBK"/>
          <w:bCs/>
          <w:color w:val="010000"/>
          <w:sz w:val="44"/>
        </w:rPr>
        <w:t>关于加强元旦春节期间油气长输管道</w:t>
      </w:r>
    </w:p>
    <w:p>
      <w:pPr>
        <w:keepNext w:val="0"/>
        <w:keepLines w:val="0"/>
        <w:pageBreakBefore w:val="0"/>
        <w:kinsoku/>
        <w:wordWrap/>
        <w:overflowPunct/>
        <w:topLinePunct w:val="0"/>
        <w:autoSpaceDE/>
        <w:autoSpaceDN/>
        <w:bidi w:val="0"/>
        <w:adjustRightInd/>
        <w:snapToGrid/>
        <w:spacing w:after="0" w:line="580" w:lineRule="exact"/>
        <w:jc w:val="center"/>
        <w:rPr>
          <w:rFonts w:hint="eastAsia" w:ascii="方正小标宋_GBK" w:eastAsia="方正小标宋_GBK"/>
          <w:bCs/>
          <w:sz w:val="44"/>
        </w:rPr>
      </w:pPr>
      <w:r>
        <w:rPr>
          <w:rFonts w:hint="eastAsia" w:ascii="方正小标宋_GBK" w:eastAsia="方正小标宋_GBK"/>
          <w:bCs/>
          <w:color w:val="010000"/>
          <w:sz w:val="44"/>
        </w:rPr>
        <w:t>安全保护工作的通知</w:t>
      </w:r>
    </w:p>
    <w:p>
      <w:pPr>
        <w:keepNext w:val="0"/>
        <w:keepLines w:val="0"/>
        <w:pageBreakBefore w:val="0"/>
        <w:kinsoku/>
        <w:wordWrap/>
        <w:overflowPunct/>
        <w:topLinePunct w:val="0"/>
        <w:autoSpaceDE/>
        <w:autoSpaceDN/>
        <w:bidi w:val="0"/>
        <w:adjustRightInd/>
        <w:snapToGrid/>
        <w:spacing w:after="0" w:line="240" w:lineRule="auto"/>
        <w:ind w:left="0" w:leftChars="0"/>
      </w:pPr>
    </w:p>
    <w:p>
      <w:pPr>
        <w:keepNext w:val="0"/>
        <w:keepLines w:val="0"/>
        <w:pageBreakBefore w:val="0"/>
        <w:kinsoku/>
        <w:wordWrap/>
        <w:overflowPunct/>
        <w:topLinePunct w:val="0"/>
        <w:autoSpaceDE/>
        <w:autoSpaceDN/>
        <w:bidi w:val="0"/>
        <w:adjustRightInd/>
        <w:snapToGrid/>
        <w:spacing w:after="0" w:line="240" w:lineRule="auto"/>
        <w:ind w:left="0" w:leftChars="0"/>
        <w:rPr>
          <w:bCs/>
        </w:rPr>
      </w:pPr>
      <w:r>
        <w:rPr>
          <w:rFonts w:hint="eastAsia"/>
          <w:bCs/>
          <w:color w:val="010000"/>
        </w:rPr>
        <w:t>各区县（自治县）管道保护主管部门，全市油气长输管道企业，各有关单位</w:t>
      </w:r>
      <w:r>
        <w:rPr>
          <w:bCs/>
        </w:rPr>
        <w:t>：</w:t>
      </w:r>
    </w:p>
    <w:p>
      <w:pPr>
        <w:keepNext w:val="0"/>
        <w:keepLines w:val="0"/>
        <w:pageBreakBefore w:val="0"/>
        <w:kinsoku/>
        <w:wordWrap/>
        <w:overflowPunct w:val="0"/>
        <w:topLinePunct w:val="0"/>
        <w:autoSpaceDE/>
        <w:autoSpaceDN/>
        <w:bidi w:val="0"/>
        <w:adjustRightInd/>
        <w:snapToGrid/>
        <w:spacing w:after="0" w:line="240" w:lineRule="auto"/>
        <w:ind w:left="0" w:leftChars="0" w:firstLine="632" w:firstLineChars="200"/>
        <w:rPr>
          <w:rFonts w:hint="eastAsia" w:ascii="方正仿宋_GBK"/>
          <w:bCs/>
        </w:rPr>
      </w:pPr>
      <w:bookmarkStart w:id="3" w:name="_Toc252947793"/>
      <w:r>
        <w:rPr>
          <w:rFonts w:hint="eastAsia" w:ascii="方正仿宋_GBK"/>
          <w:bCs/>
        </w:rPr>
        <w:t>元旦、春节临近，市委办公厅印发了《关于做好</w:t>
      </w:r>
      <w:r>
        <w:rPr>
          <w:rFonts w:hint="default" w:ascii="Times New Roman"/>
          <w:bCs/>
        </w:rPr>
        <w:t>2022</w:t>
      </w:r>
      <w:r>
        <w:rPr>
          <w:rFonts w:hint="eastAsia" w:ascii="方正仿宋_GBK"/>
          <w:bCs/>
        </w:rPr>
        <w:t>年元旦节期间有关工作的通知》（渝委办</w:t>
      </w:r>
      <w:r>
        <w:rPr>
          <w:rFonts w:hint="eastAsia" w:ascii="方正仿宋_GBK" w:hAnsi="方正仿宋_GBK" w:cs="方正仿宋_GBK"/>
          <w:bCs/>
        </w:rPr>
        <w:t>〔</w:t>
      </w:r>
      <w:r>
        <w:rPr>
          <w:rFonts w:hint="default" w:ascii="Times New Roman" w:hAnsi="Times New Roman" w:cs="Times New Roman"/>
          <w:bCs/>
        </w:rPr>
        <w:t>2021</w:t>
      </w:r>
      <w:r>
        <w:rPr>
          <w:rFonts w:hint="eastAsia" w:ascii="方正仿宋_GBK" w:hAnsi="方正仿宋_GBK" w:cs="方正仿宋_GBK"/>
          <w:bCs/>
        </w:rPr>
        <w:t>〕</w:t>
      </w:r>
      <w:r>
        <w:rPr>
          <w:rFonts w:hint="default" w:ascii="Times New Roman" w:hAnsi="Times New Roman" w:cs="Times New Roman"/>
          <w:bCs/>
        </w:rPr>
        <w:t>30</w:t>
      </w:r>
      <w:r>
        <w:rPr>
          <w:rFonts w:hint="eastAsia" w:ascii="方正仿宋_GBK" w:hAnsi="方正仿宋_GBK" w:cs="方正仿宋_GBK"/>
          <w:bCs/>
        </w:rPr>
        <w:t>号</w:t>
      </w:r>
      <w:r>
        <w:rPr>
          <w:rFonts w:hint="eastAsia" w:ascii="方正仿宋_GBK"/>
          <w:bCs/>
        </w:rPr>
        <w:t>），市安委办、市减灾委办印发了《关于做好</w:t>
      </w:r>
      <w:r>
        <w:rPr>
          <w:rFonts w:hint="default" w:ascii="Times New Roman"/>
          <w:bCs/>
        </w:rPr>
        <w:t>2022</w:t>
      </w:r>
      <w:r>
        <w:rPr>
          <w:rFonts w:hint="eastAsia" w:ascii="方正仿宋_GBK"/>
          <w:bCs/>
        </w:rPr>
        <w:t>年元旦春节期间安全防范工作的通知》（渝安办〔</w:t>
      </w:r>
      <w:r>
        <w:rPr>
          <w:rFonts w:hint="default" w:ascii="Times New Roman"/>
          <w:bCs/>
        </w:rPr>
        <w:t>2021</w:t>
      </w:r>
      <w:r>
        <w:rPr>
          <w:rFonts w:hint="eastAsia" w:ascii="方正仿宋_GBK"/>
          <w:bCs/>
        </w:rPr>
        <w:t>〕</w:t>
      </w:r>
      <w:r>
        <w:rPr>
          <w:rFonts w:hint="default" w:ascii="Times New Roman"/>
          <w:bCs/>
        </w:rPr>
        <w:t>125</w:t>
      </w:r>
      <w:r>
        <w:rPr>
          <w:rFonts w:hint="eastAsia" w:ascii="方正仿宋_GBK"/>
          <w:bCs/>
        </w:rPr>
        <w:t>号），强调要抓紧抓实安全生产工作，强化安全风险防范，狠抓各项措施落实，坚决防范各类事故灾害发生，确保广大人民群众度过欢乐、安全、祥和的节日。为认真贯彻党中央、国务院关于安全生产工作部署，以及市委、市政府安全生产工作要求，</w:t>
      </w:r>
      <w:r>
        <w:rPr>
          <w:rFonts w:hint="eastAsia" w:ascii="方正仿宋_GBK"/>
        </w:rPr>
        <w:t>现就加强元旦春节期间全市油气长输管道安全保护工作有关事项通知如下：</w:t>
      </w:r>
    </w:p>
    <w:p>
      <w:pPr>
        <w:keepNext w:val="0"/>
        <w:keepLines w:val="0"/>
        <w:pageBreakBefore w:val="0"/>
        <w:kinsoku/>
        <w:wordWrap/>
        <w:overflowPunct w:val="0"/>
        <w:topLinePunct w:val="0"/>
        <w:autoSpaceDE/>
        <w:autoSpaceDN/>
        <w:bidi w:val="0"/>
        <w:adjustRightInd/>
        <w:snapToGrid/>
        <w:spacing w:after="0" w:line="240" w:lineRule="auto"/>
        <w:ind w:firstLine="632" w:firstLineChars="200"/>
        <w:rPr>
          <w:rFonts w:hint="eastAsia" w:ascii="方正仿宋_GBK"/>
          <w:shd w:val="clear" w:color="auto" w:fill="FF0000"/>
        </w:rPr>
      </w:pPr>
      <w:r>
        <w:rPr>
          <w:rFonts w:hint="eastAsia" w:ascii="方正黑体_GBK" w:hAnsi="方正黑体_GBK" w:eastAsia="方正黑体_GBK" w:cs="方正黑体_GBK"/>
        </w:rPr>
        <w:t>一、加强组织领导，落实属地监管责任</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firstLine="632" w:firstLineChars="200"/>
        <w:rPr>
          <w:rFonts w:hint="eastAsia" w:ascii="方正仿宋_GBK"/>
        </w:rPr>
      </w:pPr>
      <w:r>
        <w:rPr>
          <w:rFonts w:hint="eastAsia" w:ascii="方正仿宋_GBK"/>
        </w:rPr>
        <w:t>各区县主管部门要强化忧患意识和底线思维，时刻绷紧安全生产这根弦，切实履行属地监管责任。要深化“十条措施”常态化安全监管，强化风险评估和分级管控，从严从实从细抓好辖区内管道安全保护工作。主要负责人要立即召开一次专题会议，对元旦春节期间油气长输管道安全保护工作进行专题研究部署，制定工作方案、落实工作措施，对辖区内企业开展一次有目标、有重点、有针对性的全面检查诊断。对发现的问题和隐患要建立台账跟踪整改，对发现的重大隐患要挂牌督办，对发现的违法行为要依法立案查处。</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二、抓好隐患排查，压实企业主体责任</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firstLine="632" w:firstLineChars="200"/>
        <w:rPr>
          <w:rFonts w:hint="eastAsia" w:ascii="方正仿宋_GBK"/>
        </w:rPr>
      </w:pPr>
      <w:r>
        <w:rPr>
          <w:rFonts w:hint="eastAsia" w:ascii="方正仿宋_GBK"/>
        </w:rPr>
        <w:t>各企业要全面落实主体责任，要</w:t>
      </w:r>
      <w:r>
        <w:rPr>
          <w:rFonts w:hint="eastAsia" w:ascii="方正仿宋_GBK" w:hAnsi="方正仿宋_GBK" w:cs="方正仿宋_GBK"/>
          <w:kern w:val="2"/>
        </w:rPr>
        <w:t>严格执行“日周月”隐患排查制度，巡线巡检制度，抓好各项制度措施落实。要从人员、设备（物品）、工艺、环境、管理等方面，立即开展一次全面、全员、全过程隐患排查整治，确保不放过一个漏洞、不丢掉一个盲点、不留一个死角，彻底排查到位。对发现的问题和隐患要清单管理，按照隐患整改“五落实”的要求，及时整改销号。要抓好高后果区、第三方施工等风险管控，</w:t>
      </w:r>
      <w:r>
        <w:rPr>
          <w:rFonts w:hint="eastAsia" w:ascii="方正仿宋_GBK" w:hAnsi="方正仿宋_GBK" w:cs="方正仿宋_GBK"/>
          <w:color w:val="000000"/>
        </w:rPr>
        <w:t>加密风险管段安全标识标桩、警示告知牌等。对第三方施工点</w:t>
      </w:r>
      <w:r>
        <w:rPr>
          <w:rFonts w:hint="eastAsia" w:ascii="方正仿宋_GBK"/>
        </w:rPr>
        <w:t>要落实专人现场值守或安装</w:t>
      </w:r>
      <w:r>
        <w:rPr>
          <w:rFonts w:hint="default" w:ascii="Times New Roman"/>
        </w:rPr>
        <w:t>24</w:t>
      </w:r>
      <w:r>
        <w:rPr>
          <w:rFonts w:hint="eastAsia" w:ascii="方正仿宋_GBK"/>
        </w:rPr>
        <w:t>小时视频监控，</w:t>
      </w:r>
      <w:r>
        <w:rPr>
          <w:rFonts w:hint="eastAsia" w:ascii="方正仿宋_GBK" w:hAnsi="方正仿宋_GBK" w:cs="方正仿宋_GBK"/>
          <w:color w:val="000000"/>
        </w:rPr>
        <w:t>做到安全管理到位、措施落实到位，确保管道安全运行。</w:t>
      </w:r>
    </w:p>
    <w:p>
      <w:pPr>
        <w:keepNext w:val="0"/>
        <w:keepLines w:val="0"/>
        <w:pageBreakBefore w:val="0"/>
        <w:shd w:val="clear" w:color="auto" w:fill="auto"/>
        <w:kinsoku/>
        <w:wordWrap/>
        <w:overflowPunct w:val="0"/>
        <w:topLinePunct w:val="0"/>
        <w:autoSpaceDE/>
        <w:autoSpaceDN/>
        <w:bidi w:val="0"/>
        <w:adjustRightInd/>
        <w:snapToGrid/>
        <w:spacing w:after="0" w:line="240" w:lineRule="auto"/>
        <w:ind w:left="0" w:leftChars="0" w:firstLine="632" w:firstLineChars="200"/>
        <w:rPr>
          <w:rFonts w:hint="eastAsia" w:ascii="方正仿宋_GBK"/>
        </w:rPr>
      </w:pPr>
      <w:r>
        <w:rPr>
          <w:rFonts w:hint="eastAsia" w:ascii="方正黑体_GBK" w:hAnsi="方正黑体_GBK" w:eastAsia="方正黑体_GBK" w:cs="方正黑体_GBK"/>
        </w:rPr>
        <w:t>三、加强值班值守，做好应急备勤管理</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right="0" w:rightChars="0" w:firstLine="632" w:firstLineChars="200"/>
        <w:textAlignment w:val="auto"/>
        <w:outlineLvl w:val="9"/>
        <w:rPr>
          <w:rFonts w:hint="eastAsia"/>
        </w:rPr>
      </w:pPr>
      <w:r>
        <w:rPr>
          <w:rFonts w:hint="eastAsia" w:ascii="方正仿宋_GBK"/>
        </w:rPr>
        <w:t>各区县主管部门，</w:t>
      </w:r>
      <w:r>
        <w:rPr>
          <w:rFonts w:hint="eastAsia" w:cs="方正仿宋_GBK"/>
        </w:rPr>
        <w:t>各企业要抓好元旦春节期间值班值守和应急备勤工作，必须严格落实节假日期间领导干部到岗带班和关键岗位</w:t>
      </w:r>
      <w:r>
        <w:rPr>
          <w:rFonts w:hint="default" w:cs="Times New Roman"/>
        </w:rPr>
        <w:t>24</w:t>
      </w:r>
      <w:r>
        <w:rPr>
          <w:rFonts w:hint="eastAsia" w:cs="方正仿宋_GBK"/>
        </w:rPr>
        <w:t>小时值班值守制度。要紧盯重点区域、重点部位，关键环节，提前做好救援队伍、应急装备、应急物资准备，确保各项应急措施落实落地，遇到突发情况能及时出动，科学有效处置。</w:t>
      </w:r>
      <w:bookmarkEnd w:id="3"/>
    </w:p>
    <w:p>
      <w:pPr>
        <w:keepNext w:val="0"/>
        <w:keepLines w:val="0"/>
        <w:pageBreakBefore w:val="0"/>
        <w:kinsoku/>
        <w:wordWrap/>
        <w:overflowPunct/>
        <w:topLinePunct w:val="0"/>
        <w:autoSpaceDE/>
        <w:autoSpaceDN/>
        <w:bidi w:val="0"/>
        <w:adjustRightInd/>
        <w:snapToGrid/>
        <w:spacing w:after="0" w:line="240" w:lineRule="auto"/>
        <w:ind w:left="0" w:leftChars="0" w:right="350" w:rightChars="111"/>
        <w:textAlignment w:val="auto"/>
        <w:outlineLvl w:val="9"/>
        <w:rPr>
          <w:rFonts w:hint="eastAsia" w:ascii="方正仿宋_GBK"/>
        </w:rPr>
      </w:pPr>
    </w:p>
    <w:p>
      <w:pPr>
        <w:keepNext w:val="0"/>
        <w:keepLines w:val="0"/>
        <w:pageBreakBefore w:val="0"/>
        <w:kinsoku/>
        <w:wordWrap/>
        <w:overflowPunct/>
        <w:topLinePunct w:val="0"/>
        <w:autoSpaceDE/>
        <w:autoSpaceDN/>
        <w:bidi w:val="0"/>
        <w:adjustRightInd/>
        <w:snapToGrid/>
        <w:spacing w:after="0" w:line="240" w:lineRule="auto"/>
        <w:ind w:left="0" w:leftChars="0" w:right="350" w:rightChars="111"/>
        <w:textAlignment w:val="auto"/>
        <w:outlineLvl w:val="9"/>
        <w:rPr>
          <w:rFonts w:hint="eastAsia" w:ascii="方正仿宋_GBK"/>
        </w:rPr>
      </w:pPr>
    </w:p>
    <w:p>
      <w:pPr>
        <w:keepNext w:val="0"/>
        <w:keepLines w:val="0"/>
        <w:pageBreakBefore w:val="0"/>
        <w:kinsoku/>
        <w:wordWrap/>
        <w:overflowPunct/>
        <w:topLinePunct w:val="0"/>
        <w:autoSpaceDE/>
        <w:autoSpaceDN/>
        <w:bidi w:val="0"/>
        <w:adjustRightInd/>
        <w:snapToGrid/>
        <w:spacing w:after="0" w:line="240" w:lineRule="auto"/>
        <w:ind w:left="0" w:leftChars="0" w:right="350" w:rightChars="111"/>
        <w:textAlignment w:val="auto"/>
        <w:outlineLvl w:val="9"/>
        <w:rPr>
          <w:rFonts w:hint="eastAsia" w:ascii="方正仿宋_GBK"/>
        </w:rPr>
      </w:pPr>
    </w:p>
    <w:p>
      <w:pPr>
        <w:keepNext w:val="0"/>
        <w:keepLines w:val="0"/>
        <w:pageBreakBefore w:val="0"/>
        <w:kinsoku/>
        <w:wordWrap/>
        <w:overflowPunct/>
        <w:topLinePunct w:val="0"/>
        <w:autoSpaceDE/>
        <w:autoSpaceDN/>
        <w:bidi w:val="0"/>
        <w:adjustRightInd/>
        <w:snapToGrid/>
        <w:spacing w:after="0" w:line="240" w:lineRule="auto"/>
        <w:ind w:left="0" w:leftChars="0" w:right="350" w:rightChars="111" w:firstLine="5321" w:firstLineChars="1684"/>
        <w:textAlignment w:val="auto"/>
        <w:outlineLvl w:val="9"/>
        <w:rPr>
          <w:rFonts w:hint="eastAsia"/>
          <w:color w:val="000000"/>
        </w:rPr>
      </w:pPr>
      <w:r>
        <w:rPr>
          <w:rFonts w:hint="eastAsia" w:ascii="方正仿宋_GBK"/>
        </w:rPr>
        <w:t>重庆市能源局</w:t>
      </w:r>
    </w:p>
    <w:p>
      <w:pPr>
        <w:keepNext w:val="0"/>
        <w:keepLines w:val="0"/>
        <w:pageBreakBefore w:val="0"/>
        <w:kinsoku/>
        <w:wordWrap w:val="0"/>
        <w:overflowPunct/>
        <w:topLinePunct w:val="0"/>
        <w:autoSpaceDE/>
        <w:autoSpaceDN/>
        <w:bidi w:val="0"/>
        <w:adjustRightInd/>
        <w:snapToGrid/>
        <w:spacing w:after="0" w:line="240" w:lineRule="auto"/>
        <w:ind w:left="0" w:leftChars="0" w:right="0" w:rightChars="0" w:firstLine="641" w:firstLineChars="0"/>
        <w:jc w:val="right"/>
        <w:textAlignment w:val="auto"/>
        <w:outlineLvl w:val="9"/>
      </w:pPr>
      <w:r>
        <w:rPr>
          <w:rFonts w:hint="eastAsia"/>
          <w:color w:val="000000"/>
        </w:rPr>
        <w:t xml:space="preserve">                    </w:t>
      </w:r>
      <w:r>
        <w:rPr>
          <w:rFonts w:hint="default"/>
          <w:color w:val="000000"/>
        </w:rPr>
        <w:t xml:space="preserve">  </w:t>
      </w:r>
      <w:r>
        <w:rPr>
          <w:rFonts w:hint="default" w:ascii="Times New Roman"/>
        </w:rPr>
        <w:t>2021年</w:t>
      </w:r>
      <w:r>
        <w:rPr>
          <w:rFonts w:hint="default" w:ascii="Times New Roman"/>
        </w:rPr>
        <w:t>12</w:t>
      </w:r>
      <w:r>
        <w:rPr>
          <w:rFonts w:hint="default" w:ascii="Times New Roman"/>
        </w:rPr>
        <w:t>月</w:t>
      </w:r>
      <w:r>
        <w:rPr>
          <w:rFonts w:hint="default" w:ascii="Times New Roman"/>
          <w:lang w:val="en-US" w:eastAsia="zh-CN"/>
        </w:rPr>
        <w:t>30</w:t>
      </w:r>
      <w:r>
        <w:rPr>
          <w:rFonts w:hint="default" w:ascii="Times New Roman"/>
        </w:rPr>
        <w:t>日</w:t>
      </w:r>
      <w:r>
        <w:rPr>
          <w:rFonts w:hint="eastAsia" w:ascii="Times New Roman" w:hAnsi="Times New Roman" w:cs="Times New Roman"/>
          <w:lang w:val="en-US" w:eastAsia="zh-CN"/>
        </w:rPr>
        <w:t xml:space="preserve">        </w:t>
      </w:r>
    </w:p>
    <w:p>
      <w:pPr>
        <w:adjustRightInd/>
        <w:spacing w:line="240" w:lineRule="auto"/>
        <w:rPr>
          <w:bCs/>
        </w:rPr>
        <w:sectPr>
          <w:headerReference r:id="rId4" w:type="first"/>
          <w:footerReference r:id="rId7" w:type="first"/>
          <w:headerReference r:id="rId3" w:type="default"/>
          <w:footerReference r:id="rId5" w:type="default"/>
          <w:footerReference r:id="rId6" w:type="even"/>
          <w:pgSz w:w="11906" w:h="16838"/>
          <w:pgMar w:top="2098" w:right="1531" w:bottom="1984" w:left="1531" w:header="851" w:footer="1417" w:gutter="0"/>
          <w:cols w:space="0" w:num="1"/>
          <w:rtlGutter w:val="0"/>
          <w:docGrid w:type="linesAndChars" w:linePitch="579" w:charSpace="-849"/>
        </w:sect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adjustRightInd/>
        <w:spacing w:line="240" w:lineRule="auto"/>
        <w:rPr>
          <w:bCs/>
        </w:rPr>
      </w:pPr>
    </w:p>
    <w:p>
      <w:pPr>
        <w:keepNext w:val="0"/>
        <w:keepLines w:val="0"/>
        <w:pageBreakBefore w:val="0"/>
        <w:widowControl w:val="0"/>
        <w:pBdr>
          <w:bottom w:val="none" w:color="auto" w:sz="0" w:space="0"/>
        </w:pBdr>
        <w:kinsoku/>
        <w:wordWrap/>
        <w:overflowPunct/>
        <w:topLinePunct w:val="0"/>
        <w:autoSpaceDE/>
        <w:autoSpaceDN/>
        <w:bidi w:val="0"/>
        <w:adjustRightInd w:val="0"/>
        <w:snapToGrid/>
        <w:spacing w:line="460" w:lineRule="exact"/>
        <w:jc w:val="left"/>
        <w:textAlignment w:val="baseline"/>
        <w:rPr>
          <w:rFonts w:hint="eastAsia"/>
          <w:spacing w:val="0"/>
          <w:sz w:val="28"/>
          <w:szCs w:val="28"/>
        </w:rPr>
      </w:pPr>
    </w:p>
    <w:p>
      <w:pPr>
        <w:pBdr>
          <w:top w:val="single" w:color="auto" w:sz="12" w:space="0"/>
          <w:bottom w:val="single" w:color="auto" w:sz="12" w:space="0"/>
        </w:pBdr>
        <w:spacing w:line="240" w:lineRule="auto"/>
        <w:jc w:val="left"/>
      </w:pPr>
      <w:bookmarkStart w:id="4" w:name="_GoBack"/>
      <w:bookmarkEnd w:id="4"/>
    </w:p>
    <w:sectPr>
      <w:headerReference r:id="rId8" w:type="first"/>
      <w:footerReference r:id="rId9" w:type="first"/>
      <w:pgSz w:w="11906" w:h="16838"/>
      <w:pgMar w:top="2098" w:right="1531" w:bottom="1984" w:left="1531" w:header="851" w:footer="1417" w:gutter="0"/>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A275B"/>
    <w:rsid w:val="000B4A22"/>
    <w:rsid w:val="000C0BF7"/>
    <w:rsid w:val="000C2FB2"/>
    <w:rsid w:val="000C6B28"/>
    <w:rsid w:val="000F25BF"/>
    <w:rsid w:val="001024AA"/>
    <w:rsid w:val="001056AD"/>
    <w:rsid w:val="00156991"/>
    <w:rsid w:val="00182501"/>
    <w:rsid w:val="00185691"/>
    <w:rsid w:val="001D3042"/>
    <w:rsid w:val="001F7BBB"/>
    <w:rsid w:val="0026530B"/>
    <w:rsid w:val="00296D93"/>
    <w:rsid w:val="002B04C6"/>
    <w:rsid w:val="00301B6D"/>
    <w:rsid w:val="00370BF6"/>
    <w:rsid w:val="00396CAE"/>
    <w:rsid w:val="003D5F25"/>
    <w:rsid w:val="003E4FE8"/>
    <w:rsid w:val="003E5084"/>
    <w:rsid w:val="003F450B"/>
    <w:rsid w:val="00413264"/>
    <w:rsid w:val="00432433"/>
    <w:rsid w:val="00434D79"/>
    <w:rsid w:val="00474C3A"/>
    <w:rsid w:val="00496D2E"/>
    <w:rsid w:val="00497F00"/>
    <w:rsid w:val="004A2FB3"/>
    <w:rsid w:val="004E0474"/>
    <w:rsid w:val="0050535E"/>
    <w:rsid w:val="00523CA4"/>
    <w:rsid w:val="005777F4"/>
    <w:rsid w:val="005C221C"/>
    <w:rsid w:val="005C7EAE"/>
    <w:rsid w:val="006042BD"/>
    <w:rsid w:val="006068C6"/>
    <w:rsid w:val="0063154E"/>
    <w:rsid w:val="006A30D0"/>
    <w:rsid w:val="0072131F"/>
    <w:rsid w:val="00731C1B"/>
    <w:rsid w:val="00737083"/>
    <w:rsid w:val="00765BC9"/>
    <w:rsid w:val="007770A5"/>
    <w:rsid w:val="00794916"/>
    <w:rsid w:val="007B0DE3"/>
    <w:rsid w:val="007F46CB"/>
    <w:rsid w:val="00815223"/>
    <w:rsid w:val="00831787"/>
    <w:rsid w:val="00860A47"/>
    <w:rsid w:val="00891C35"/>
    <w:rsid w:val="008935D1"/>
    <w:rsid w:val="008B74C0"/>
    <w:rsid w:val="009048D5"/>
    <w:rsid w:val="00904AFE"/>
    <w:rsid w:val="0092122C"/>
    <w:rsid w:val="009220DF"/>
    <w:rsid w:val="00965CCB"/>
    <w:rsid w:val="00972E17"/>
    <w:rsid w:val="009776C5"/>
    <w:rsid w:val="00995785"/>
    <w:rsid w:val="009A5EB0"/>
    <w:rsid w:val="00A40C10"/>
    <w:rsid w:val="00A443C1"/>
    <w:rsid w:val="00A955CD"/>
    <w:rsid w:val="00B1777D"/>
    <w:rsid w:val="00B51CD6"/>
    <w:rsid w:val="00B54ED4"/>
    <w:rsid w:val="00B833D8"/>
    <w:rsid w:val="00C464A8"/>
    <w:rsid w:val="00C6762A"/>
    <w:rsid w:val="00D01740"/>
    <w:rsid w:val="00D471B4"/>
    <w:rsid w:val="00D7295A"/>
    <w:rsid w:val="00D878F1"/>
    <w:rsid w:val="00D97CFB"/>
    <w:rsid w:val="00DB38C2"/>
    <w:rsid w:val="00E03841"/>
    <w:rsid w:val="00E770E1"/>
    <w:rsid w:val="00E93235"/>
    <w:rsid w:val="00ED5B9D"/>
    <w:rsid w:val="00F14A44"/>
    <w:rsid w:val="00F63B69"/>
    <w:rsid w:val="00F76AAF"/>
    <w:rsid w:val="00FA4D84"/>
    <w:rsid w:val="11070081"/>
    <w:rsid w:val="190F12BA"/>
    <w:rsid w:val="1F755D97"/>
    <w:rsid w:val="20FC4415"/>
    <w:rsid w:val="22EC3D6D"/>
    <w:rsid w:val="35E02A37"/>
    <w:rsid w:val="37130AFF"/>
    <w:rsid w:val="395A205F"/>
    <w:rsid w:val="3DE0282B"/>
    <w:rsid w:val="61D82977"/>
    <w:rsid w:val="6ECB2DB1"/>
    <w:rsid w:val="779A726F"/>
    <w:rsid w:val="7A46550C"/>
    <w:rsid w:val="7D586D80"/>
    <w:rsid w:val="BFC7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unhideWhenUsed/>
    <w:uiPriority w:val="1"/>
  </w:style>
  <w:style w:type="table" w:default="1" w:styleId="7">
    <w:name w:val="Normal Table"/>
    <w:unhideWhenUsed/>
    <w:qFormat/>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8">
    <w:name w:val="页眉 Char"/>
    <w:link w:val="4"/>
    <w:qFormat/>
    <w:uiPriority w:val="0"/>
    <w:rPr>
      <w:rFonts w:eastAsia="方正仿宋_GBK"/>
      <w:sz w:val="18"/>
      <w:szCs w:val="18"/>
    </w:rPr>
  </w:style>
  <w:style w:type="character" w:customStyle="1" w:styleId="9">
    <w:name w:val="页脚 Char"/>
    <w:link w:val="3"/>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20</Characters>
  <Lines>1</Lines>
  <Paragraphs>1</Paragraphs>
  <TotalTime>2</TotalTime>
  <ScaleCrop>false</ScaleCrop>
  <LinksUpToDate>false</LinksUpToDate>
  <CharactersWithSpaces>22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2021-12-31T01:54:00Z</cp:lastPrinted>
  <dcterms:modified xsi:type="dcterms:W3CDTF">2021-12-31T03:56:30Z</dcterms:modified>
  <dc:title>重庆市计委关于巫山县小小三峡手扒岩至平河</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DC6E81E200864680839B5A66E54A9211</vt:lpwstr>
  </property>
  <property fmtid="{D5CDD505-2E9C-101B-9397-08002B2CF9AE}" pid="3" name="KSOProductBuildVer">
    <vt:lpwstr>2052-10.8.0.6423</vt:lpwstr>
  </property>
</Properties>
</file>