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line="240" w:lineRule="auto"/>
        <w:rPr>
          <w:rFonts w:ascii="Times New Roman" w:hAnsi="Times New Roman" w:cs="方正仿宋_GBK"/>
          <w:bCs/>
        </w:rPr>
      </w:pPr>
    </w:p>
    <w:p>
      <w:pPr>
        <w:adjustRightInd/>
        <w:spacing w:beforeLines="0" w:afterLines="0" w:line="240" w:lineRule="auto"/>
        <w:rPr>
          <w:rFonts w:ascii="Times New Roman" w:hAnsi="Times New Roman" w:cs="方正仿宋_GBK"/>
          <w:bCs/>
        </w:rPr>
      </w:pPr>
    </w:p>
    <w:p>
      <w:pPr>
        <w:adjustRightInd/>
        <w:spacing w:beforeLines="0" w:afterLines="0" w:line="240" w:lineRule="auto"/>
        <w:rPr>
          <w:rFonts w:ascii="Times New Roman" w:hAnsi="Times New Roman" w:cs="方正仿宋_GBK"/>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jc w:val="center"/>
        <w:rPr>
          <w:rFonts w:eastAsia="宋体"/>
          <w:kern w:val="2"/>
        </w:rPr>
      </w:pPr>
    </w:p>
    <w:p>
      <w:pPr>
        <w:adjustRightInd/>
        <w:spacing w:beforeLines="0" w:afterLines="0" w:line="240" w:lineRule="auto"/>
        <w:jc w:val="center"/>
        <w:rPr>
          <w:rFonts w:eastAsia="宋体"/>
          <w:kern w:val="2"/>
        </w:rPr>
      </w:pPr>
    </w:p>
    <w:p>
      <w:pPr>
        <w:adjustRightInd/>
        <w:spacing w:beforeLines="0" w:afterLines="0" w:line="240" w:lineRule="auto"/>
        <w:jc w:val="both"/>
        <w:rPr>
          <w:rFonts w:eastAsia="宋体"/>
          <w:kern w:val="2"/>
        </w:rPr>
      </w:pPr>
    </w:p>
    <w:p>
      <w:pPr>
        <w:adjustRightInd/>
        <w:spacing w:beforeLines="0" w:afterLines="0" w:line="240" w:lineRule="auto"/>
        <w:jc w:val="center"/>
        <w:rPr>
          <w:rFonts w:hint="eastAsia" w:cs="方正仿宋_GBK"/>
          <w:bCs/>
        </w:rPr>
      </w:pPr>
      <w:r>
        <w:rPr>
          <w:rFonts w:hint="eastAsia" w:eastAsia="方正仿宋_GBK" w:cs="方正仿宋_GBK"/>
          <w:kern w:val="2"/>
        </w:rPr>
        <w:t>发改价格〔2021〕1618号</w:t>
      </w:r>
    </w:p>
    <w:p>
      <w:pPr>
        <w:adjustRightInd/>
        <w:spacing w:beforeLines="0" w:afterLines="0" w:line="240" w:lineRule="auto"/>
        <w:jc w:val="center"/>
        <w:rPr>
          <w:bCs/>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outlineLvl w:val="9"/>
        <w:rPr>
          <w:rFonts w:hint="eastAsia"/>
          <w:bCs/>
        </w:rPr>
      </w:pPr>
      <w:bookmarkStart w:id="0" w:name="正文"/>
      <w:bookmarkEnd w:id="0"/>
    </w:p>
    <w:p>
      <w:pPr>
        <w:keepNext w:val="0"/>
        <w:keepLines w:val="0"/>
        <w:pageBreakBefore w:val="0"/>
        <w:kinsoku/>
        <w:wordWrap/>
        <w:overflowPunct/>
        <w:topLinePunct w:val="0"/>
        <w:autoSpaceDE/>
        <w:autoSpaceDN/>
        <w:bidi w:val="0"/>
        <w:adjustRightInd/>
        <w:snapToGrid/>
        <w:spacing w:beforeLines="0" w:afterLines="0" w:line="580" w:lineRule="exact"/>
        <w:ind w:left="0" w:leftChars="0" w:right="0" w:rightChars="0" w:firstLine="0" w:firstLineChars="0"/>
        <w:jc w:val="center"/>
        <w:outlineLvl w:val="9"/>
        <w:rPr>
          <w:rFonts w:hint="eastAsia" w:eastAsia="方正小标宋_GBK"/>
          <w:sz w:val="44"/>
          <w:szCs w:val="44"/>
        </w:rPr>
      </w:pPr>
      <w:bookmarkStart w:id="1" w:name="zw"/>
      <w:bookmarkEnd w:id="1"/>
      <w:bookmarkStart w:id="2" w:name="hj"/>
      <w:bookmarkEnd w:id="2"/>
      <w:bookmarkStart w:id="3" w:name="bt"/>
      <w:bookmarkEnd w:id="3"/>
      <w:r>
        <w:rPr>
          <w:rFonts w:hint="eastAsia" w:eastAsia="方正小标宋_GBK"/>
          <w:sz w:val="44"/>
          <w:szCs w:val="44"/>
        </w:rPr>
        <w:t>重庆市发展和改革委员会</w:t>
      </w:r>
      <w:bookmarkStart w:id="4" w:name="_GoBack"/>
      <w:bookmarkEnd w:id="4"/>
    </w:p>
    <w:p>
      <w:pPr>
        <w:keepNext w:val="0"/>
        <w:keepLines w:val="0"/>
        <w:pageBreakBefore w:val="0"/>
        <w:kinsoku/>
        <w:wordWrap/>
        <w:overflowPunct/>
        <w:topLinePunct w:val="0"/>
        <w:autoSpaceDE/>
        <w:autoSpaceDN/>
        <w:bidi w:val="0"/>
        <w:adjustRightInd/>
        <w:snapToGrid/>
        <w:spacing w:beforeLines="0" w:afterLines="0" w:line="580" w:lineRule="exact"/>
        <w:ind w:left="0" w:leftChars="0" w:right="0" w:rightChars="0" w:firstLine="0" w:firstLineChars="0"/>
        <w:jc w:val="center"/>
        <w:outlineLvl w:val="9"/>
        <w:rPr>
          <w:rFonts w:hint="eastAsia" w:eastAsia="方正小标宋_GBK"/>
          <w:sz w:val="44"/>
          <w:szCs w:val="44"/>
        </w:rPr>
      </w:pPr>
      <w:r>
        <w:rPr>
          <w:rFonts w:hint="eastAsia" w:eastAsia="方正小标宋_GBK"/>
          <w:sz w:val="44"/>
          <w:szCs w:val="44"/>
        </w:rPr>
        <w:t>关于调整2021年采暖季中心城区</w:t>
      </w:r>
    </w:p>
    <w:p>
      <w:pPr>
        <w:keepNext w:val="0"/>
        <w:keepLines w:val="0"/>
        <w:pageBreakBefore w:val="0"/>
        <w:kinsoku/>
        <w:wordWrap/>
        <w:overflowPunct/>
        <w:topLinePunct w:val="0"/>
        <w:autoSpaceDE/>
        <w:autoSpaceDN/>
        <w:bidi w:val="0"/>
        <w:adjustRightInd/>
        <w:snapToGrid/>
        <w:spacing w:beforeLines="0" w:afterLines="0" w:line="580" w:lineRule="exact"/>
        <w:ind w:left="0" w:leftChars="0" w:right="0" w:rightChars="0" w:firstLine="0" w:firstLineChars="0"/>
        <w:jc w:val="center"/>
        <w:outlineLvl w:val="9"/>
        <w:rPr>
          <w:rFonts w:hint="eastAsia" w:eastAsia="方正小标宋_GBK"/>
          <w:sz w:val="44"/>
          <w:szCs w:val="44"/>
        </w:rPr>
      </w:pPr>
      <w:r>
        <w:rPr>
          <w:rFonts w:hint="eastAsia" w:eastAsia="方正小标宋_GBK"/>
          <w:sz w:val="44"/>
          <w:szCs w:val="44"/>
        </w:rPr>
        <w:t>非居民天然气销售价格的通知</w:t>
      </w:r>
    </w:p>
    <w:p>
      <w:pPr>
        <w:keepNext w:val="0"/>
        <w:keepLines w:val="0"/>
        <w:pageBreakBefore w:val="0"/>
        <w:kinsoku/>
        <w:wordWrap/>
        <w:overflowPunct/>
        <w:topLinePunct w:val="0"/>
        <w:autoSpaceDE/>
        <w:autoSpaceDN/>
        <w:bidi w:val="0"/>
        <w:adjustRightInd/>
        <w:snapToGrid/>
        <w:spacing w:beforeLines="0" w:afterLines="0" w:line="240" w:lineRule="auto"/>
        <w:ind w:left="0" w:leftChars="0"/>
        <w:outlineLvl w:val="9"/>
        <w:rPr>
          <w:rFonts w:hint="eastAsia"/>
          <w:color w:val="000000"/>
        </w:rPr>
      </w:pPr>
    </w:p>
    <w:p>
      <w:pPr>
        <w:keepNext w:val="0"/>
        <w:keepLines w:val="0"/>
        <w:pageBreakBefore w:val="0"/>
        <w:kinsoku/>
        <w:wordWrap/>
        <w:overflowPunct/>
        <w:topLinePunct w:val="0"/>
        <w:autoSpaceDE/>
        <w:autoSpaceDN/>
        <w:bidi w:val="0"/>
        <w:adjustRightInd/>
        <w:snapToGrid/>
        <w:spacing w:beforeLines="0" w:afterLines="0" w:line="540" w:lineRule="exact"/>
        <w:ind w:left="0" w:leftChars="0"/>
        <w:outlineLvl w:val="9"/>
        <w:rPr>
          <w:rFonts w:hint="eastAsia"/>
          <w:color w:val="000000"/>
        </w:rPr>
      </w:pPr>
      <w:r>
        <w:rPr>
          <w:rFonts w:hint="eastAsia"/>
          <w:color w:val="000000"/>
        </w:rPr>
        <w:t>各区县（自治县）发展改革委，两江新区市场监管局、重庆高新</w:t>
      </w:r>
      <w:r>
        <w:rPr>
          <w:rFonts w:hint="eastAsia"/>
          <w:color w:val="000000"/>
          <w:spacing w:val="-6"/>
        </w:rPr>
        <w:t>区改革发展局、万盛经开区发展改革局，中心城区各城市燃气企业：</w:t>
      </w:r>
    </w:p>
    <w:p>
      <w:pPr>
        <w:keepNext w:val="0"/>
        <w:keepLines w:val="0"/>
        <w:pageBreakBefore w:val="0"/>
        <w:kinsoku/>
        <w:wordWrap/>
        <w:overflowPunct/>
        <w:topLinePunct w:val="0"/>
        <w:autoSpaceDE/>
        <w:autoSpaceDN/>
        <w:bidi w:val="0"/>
        <w:adjustRightInd/>
        <w:snapToGrid/>
        <w:spacing w:beforeLines="0" w:afterLines="0" w:line="540" w:lineRule="exact"/>
        <w:ind w:left="0" w:leftChars="0" w:firstLine="632" w:firstLineChars="200"/>
        <w:outlineLvl w:val="9"/>
        <w:rPr>
          <w:rFonts w:hint="eastAsia"/>
          <w:color w:val="000000"/>
        </w:rPr>
      </w:pPr>
      <w:r>
        <w:rPr>
          <w:rFonts w:hint="eastAsia"/>
          <w:color w:val="000000"/>
        </w:rPr>
        <w:t>根据国家天然气价格形成机制的有关要求，以及上游供气企</w:t>
      </w:r>
      <w:r>
        <w:rPr>
          <w:rFonts w:hint="eastAsia"/>
          <w:color w:val="000000"/>
          <w:spacing w:val="-6"/>
        </w:rPr>
        <w:t>业调整重庆天然气门站价格情况和现行中心城区非居民天然气上下游价格联动机制，经市政府同意，现就经</w:t>
      </w:r>
      <w:r>
        <w:rPr>
          <w:rFonts w:hint="eastAsia" w:cs="方正仿宋_GBK"/>
          <w:color w:val="000000"/>
          <w:spacing w:val="-6"/>
        </w:rPr>
        <w:t>城市燃气企业转供的</w:t>
      </w:r>
      <w:r>
        <w:rPr>
          <w:rFonts w:hint="eastAsia"/>
          <w:color w:val="000000"/>
          <w:spacing w:val="-6"/>
        </w:rPr>
        <w:t>2021年采暖季中心城区非居民天然气销售价格调整有关事项通知如下：</w:t>
      </w:r>
    </w:p>
    <w:p>
      <w:pPr>
        <w:keepNext w:val="0"/>
        <w:keepLines w:val="0"/>
        <w:pageBreakBefore w:val="0"/>
        <w:numPr>
          <w:ilvl w:val="0"/>
          <w:numId w:val="0"/>
        </w:numPr>
        <w:kinsoku/>
        <w:wordWrap/>
        <w:overflowPunct/>
        <w:topLinePunct w:val="0"/>
        <w:autoSpaceDE/>
        <w:autoSpaceDN/>
        <w:bidi w:val="0"/>
        <w:adjustRightInd/>
        <w:snapToGrid/>
        <w:spacing w:beforeLines="0" w:beforeAutospacing="0" w:afterLines="0" w:line="540" w:lineRule="exact"/>
        <w:ind w:left="0" w:leftChars="0" w:right="0" w:rightChars="0" w:firstLine="632" w:firstLineChars="200"/>
        <w:textAlignment w:val="auto"/>
        <w:outlineLvl w:val="9"/>
        <w:rPr>
          <w:rFonts w:hint="eastAsia" w:eastAsia="方正黑体_GBK" w:cs="方正黑体_GBK"/>
          <w:color w:val="000000"/>
          <w:kern w:val="2"/>
        </w:rPr>
      </w:pPr>
      <w:r>
        <w:rPr>
          <w:rFonts w:hint="eastAsia" w:eastAsia="方正黑体_GBK" w:cs="方正黑体_GBK"/>
          <w:color w:val="000000"/>
          <w:kern w:val="2"/>
        </w:rPr>
        <w:t>一、调整天然气销售价格</w:t>
      </w:r>
    </w:p>
    <w:p>
      <w:pPr>
        <w:keepNext w:val="0"/>
        <w:keepLines w:val="0"/>
        <w:pageBreakBefore w:val="0"/>
        <w:numPr>
          <w:ilvl w:val="0"/>
          <w:numId w:val="0"/>
        </w:numPr>
        <w:kinsoku/>
        <w:wordWrap/>
        <w:overflowPunct/>
        <w:topLinePunct w:val="0"/>
        <w:autoSpaceDE/>
        <w:autoSpaceDN/>
        <w:bidi w:val="0"/>
        <w:adjustRightInd/>
        <w:snapToGrid/>
        <w:spacing w:beforeLines="0" w:beforeAutospacing="0" w:afterLines="0" w:line="540" w:lineRule="exact"/>
        <w:ind w:left="0" w:leftChars="0" w:right="0" w:rightChars="0" w:firstLine="632" w:firstLineChars="200"/>
        <w:textAlignment w:val="auto"/>
        <w:outlineLvl w:val="9"/>
        <w:rPr>
          <w:rFonts w:hint="eastAsia" w:cs="方正仿宋_GBK"/>
          <w:color w:val="000000"/>
          <w:kern w:val="2"/>
        </w:rPr>
      </w:pPr>
      <w:r>
        <w:rPr>
          <w:rFonts w:hint="eastAsia" w:cs="方正仿宋_GBK"/>
          <w:color w:val="000000"/>
          <w:kern w:val="2"/>
        </w:rPr>
        <w:t>非居民天然气（包括工业、商业、集体、CNG原料气，下同）最高销售价格由现行2.074元/立方米调整为2.576元/立方米；车用CNG最高销售价格由现行3.184元/立方米调整为3.686元/立方米（按质量计算，由现行4.68元/公斤调整为5.42元/公斤）。</w:t>
      </w:r>
    </w:p>
    <w:p>
      <w:pPr>
        <w:keepNext w:val="0"/>
        <w:keepLines w:val="0"/>
        <w:pageBreakBefore w:val="0"/>
        <w:numPr>
          <w:ilvl w:val="0"/>
          <w:numId w:val="0"/>
        </w:numPr>
        <w:kinsoku/>
        <w:wordWrap/>
        <w:overflowPunct/>
        <w:topLinePunct w:val="0"/>
        <w:autoSpaceDE/>
        <w:autoSpaceDN/>
        <w:bidi w:val="0"/>
        <w:adjustRightInd/>
        <w:snapToGrid/>
        <w:spacing w:beforeLines="0" w:beforeAutospacing="0" w:afterLines="0" w:line="540" w:lineRule="exact"/>
        <w:ind w:left="0" w:leftChars="0" w:right="0" w:rightChars="0" w:firstLine="632" w:firstLineChars="200"/>
        <w:textAlignment w:val="auto"/>
        <w:outlineLvl w:val="9"/>
        <w:rPr>
          <w:rFonts w:hint="eastAsia" w:eastAsia="方正黑体_GBK" w:cs="方正黑体_GBK"/>
          <w:color w:val="000000"/>
          <w:kern w:val="2"/>
        </w:rPr>
      </w:pPr>
      <w:r>
        <w:rPr>
          <w:rFonts w:hint="eastAsia" w:eastAsia="方正黑体_GBK" w:cs="方正黑体_GBK"/>
          <w:color w:val="000000"/>
          <w:kern w:val="2"/>
        </w:rPr>
        <w:t xml:space="preserve">二、政策执行时间 </w:t>
      </w:r>
    </w:p>
    <w:p>
      <w:pPr>
        <w:keepNext w:val="0"/>
        <w:keepLines w:val="0"/>
        <w:pageBreakBefore w:val="0"/>
        <w:numPr>
          <w:ilvl w:val="0"/>
          <w:numId w:val="0"/>
        </w:numPr>
        <w:kinsoku/>
        <w:wordWrap/>
        <w:overflowPunct/>
        <w:topLinePunct w:val="0"/>
        <w:autoSpaceDE/>
        <w:autoSpaceDN/>
        <w:bidi w:val="0"/>
        <w:adjustRightInd/>
        <w:snapToGrid/>
        <w:spacing w:beforeLines="0" w:beforeAutospacing="0" w:afterLines="0" w:line="540" w:lineRule="exact"/>
        <w:ind w:left="0" w:leftChars="0" w:right="0" w:rightChars="0" w:firstLine="632" w:firstLineChars="200"/>
        <w:textAlignment w:val="auto"/>
        <w:outlineLvl w:val="9"/>
        <w:rPr>
          <w:rFonts w:hint="eastAsia" w:cs="方正仿宋_GBK"/>
          <w:color w:val="000000"/>
          <w:kern w:val="2"/>
        </w:rPr>
      </w:pPr>
      <w:r>
        <w:rPr>
          <w:rFonts w:hint="eastAsia" w:cs="方正仿宋_GBK"/>
          <w:color w:val="000000"/>
          <w:kern w:val="2"/>
        </w:rPr>
        <w:t>中心城区采暖季非居民天然气最高销售价格执行期限为202</w:t>
      </w:r>
      <w:r>
        <w:rPr>
          <w:rFonts w:hint="eastAsia" w:eastAsia="宋体" w:cs="方正仿宋_GBK"/>
          <w:color w:val="000000"/>
          <w:kern w:val="2"/>
        </w:rPr>
        <w:t>1</w:t>
      </w:r>
      <w:r>
        <w:rPr>
          <w:rFonts w:hint="eastAsia" w:cs="方正仿宋_GBK"/>
          <w:color w:val="000000"/>
          <w:kern w:val="2"/>
        </w:rPr>
        <w:t>年11月1日至2022年</w:t>
      </w:r>
      <w:r>
        <w:rPr>
          <w:rFonts w:hint="eastAsia" w:eastAsia="宋体" w:cs="方正仿宋_GBK"/>
          <w:color w:val="000000"/>
          <w:kern w:val="2"/>
        </w:rPr>
        <w:t>3</w:t>
      </w:r>
      <w:r>
        <w:rPr>
          <w:rFonts w:hint="eastAsia" w:cs="方正仿宋_GBK"/>
          <w:color w:val="000000"/>
          <w:kern w:val="2"/>
        </w:rPr>
        <w:t>月31日；车用CNG最高销售价格执行期限为2021年12月8日至2022年5月7日。</w:t>
      </w:r>
    </w:p>
    <w:p>
      <w:pPr>
        <w:keepNext w:val="0"/>
        <w:keepLines w:val="0"/>
        <w:pageBreakBefore w:val="0"/>
        <w:kinsoku/>
        <w:wordWrap/>
        <w:overflowPunct/>
        <w:topLinePunct w:val="0"/>
        <w:autoSpaceDE/>
        <w:autoSpaceDN/>
        <w:bidi w:val="0"/>
        <w:adjustRightInd/>
        <w:snapToGrid/>
        <w:spacing w:beforeLines="0" w:afterLines="0" w:line="540" w:lineRule="exact"/>
        <w:ind w:left="0" w:leftChars="0" w:firstLine="632" w:firstLineChars="200"/>
        <w:outlineLvl w:val="9"/>
        <w:rPr>
          <w:rFonts w:hint="eastAsia" w:eastAsia="方正黑体_GBK"/>
          <w:color w:val="000000"/>
        </w:rPr>
      </w:pPr>
      <w:r>
        <w:rPr>
          <w:rFonts w:hint="eastAsia" w:eastAsia="方正黑体_GBK"/>
          <w:color w:val="000000"/>
        </w:rPr>
        <w:t>三、切实维护市场稳定</w:t>
      </w:r>
    </w:p>
    <w:p>
      <w:pPr>
        <w:keepNext w:val="0"/>
        <w:keepLines w:val="0"/>
        <w:pageBreakBefore w:val="0"/>
        <w:kinsoku/>
        <w:wordWrap/>
        <w:overflowPunct/>
        <w:topLinePunct w:val="0"/>
        <w:autoSpaceDE/>
        <w:autoSpaceDN/>
        <w:bidi w:val="0"/>
        <w:adjustRightInd/>
        <w:snapToGrid/>
        <w:spacing w:beforeLines="0" w:afterLines="0" w:line="540" w:lineRule="exact"/>
        <w:ind w:left="0" w:leftChars="0" w:firstLine="632" w:firstLineChars="200"/>
        <w:outlineLvl w:val="9"/>
        <w:rPr>
          <w:rFonts w:hint="eastAsia"/>
          <w:color w:val="000000"/>
        </w:rPr>
      </w:pPr>
      <w:r>
        <w:rPr>
          <w:rFonts w:hint="eastAsia"/>
        </w:rPr>
        <w:t>中心城区各燃气企业要严格执行调价政策，做好执行时间追溯、政策衔接、气费结算，确保政策落实到位。市级</w:t>
      </w:r>
      <w:r>
        <w:rPr>
          <w:rFonts w:hint="eastAsia"/>
          <w:color w:val="000000"/>
        </w:rPr>
        <w:t>有关部门和燃气企业要共同做好政策解释工作，及时回应社会关切，确保价格政策平稳实施。</w:t>
      </w:r>
    </w:p>
    <w:p>
      <w:pPr>
        <w:keepNext w:val="0"/>
        <w:keepLines w:val="0"/>
        <w:pageBreakBefore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32" w:firstLineChars="200"/>
        <w:outlineLvl w:val="9"/>
        <w:rPr>
          <w:rFonts w:hint="eastAsia"/>
        </w:rPr>
      </w:pPr>
      <w:r>
        <w:rPr>
          <w:rFonts w:hint="eastAsia"/>
        </w:rPr>
        <w:t>按照价格管理权限，中心城区以外的区县城市燃气企业转供的非居民用气以及车用CNG销售价格由当地政府结合实际，认真研究制定，切实确保社会和谐稳定。</w:t>
      </w:r>
    </w:p>
    <w:p>
      <w:pPr>
        <w:keepNext w:val="0"/>
        <w:keepLines w:val="0"/>
        <w:pageBreakBefore w:val="0"/>
        <w:kinsoku/>
        <w:wordWrap/>
        <w:overflowPunct/>
        <w:topLinePunct w:val="0"/>
        <w:autoSpaceDE/>
        <w:autoSpaceDN/>
        <w:bidi w:val="0"/>
        <w:adjustRightInd/>
        <w:snapToGrid/>
        <w:spacing w:beforeLines="0" w:afterLines="0" w:line="540" w:lineRule="exact"/>
        <w:ind w:left="0" w:leftChars="0" w:firstLine="632" w:firstLineChars="200"/>
        <w:outlineLvl w:val="9"/>
        <w:rPr>
          <w:rFonts w:hint="eastAsia"/>
          <w:color w:val="000000"/>
        </w:rPr>
      </w:pPr>
    </w:p>
    <w:p>
      <w:pPr>
        <w:keepNext w:val="0"/>
        <w:keepLines w:val="0"/>
        <w:pageBreakBefore w:val="0"/>
        <w:kinsoku/>
        <w:wordWrap/>
        <w:overflowPunct/>
        <w:topLinePunct w:val="0"/>
        <w:autoSpaceDE/>
        <w:autoSpaceDN/>
        <w:bidi w:val="0"/>
        <w:adjustRightInd/>
        <w:snapToGrid/>
        <w:spacing w:beforeLines="0" w:afterLines="0" w:line="540" w:lineRule="exact"/>
        <w:ind w:left="0" w:leftChars="0" w:right="0"/>
        <w:jc w:val="center"/>
        <w:outlineLvl w:val="9"/>
        <w:rPr>
          <w:rFonts w:hint="eastAsia"/>
        </w:rPr>
      </w:pPr>
      <w:r>
        <w:rPr>
          <w:rFonts w:hint="eastAsia"/>
          <w:lang w:val="en-US" w:eastAsia="zh-CN"/>
        </w:rPr>
        <w:t xml:space="preserve">                   </w:t>
      </w:r>
      <w:r>
        <w:rPr>
          <w:rFonts w:hint="eastAsia"/>
        </w:rPr>
        <w:t xml:space="preserve">  重庆市发展和改革委员会</w:t>
      </w:r>
    </w:p>
    <w:p>
      <w:pPr>
        <w:pBdr>
          <w:bottom w:val="none" w:sz="0" w:space="0"/>
        </w:pBdr>
        <w:adjustRightInd/>
        <w:spacing w:beforeLines="0" w:afterLines="0" w:line="540" w:lineRule="exact"/>
        <w:outlineLvl w:val="9"/>
      </w:pPr>
      <w:r>
        <w:rPr>
          <w:rFonts w:hint="eastAsia"/>
        </w:rPr>
        <w:t xml:space="preserve">                     </w:t>
      </w:r>
      <w:r>
        <w:rPr>
          <w:rFonts w:hint="eastAsia"/>
          <w:lang w:val="en-US" w:eastAsia="zh-CN"/>
        </w:rPr>
        <w:t xml:space="preserve">  </w:t>
      </w:r>
      <w:r>
        <w:rPr>
          <w:rFonts w:hint="eastAsia"/>
        </w:rPr>
        <w:t xml:space="preserve">        </w:t>
      </w:r>
      <w:r>
        <w:rPr>
          <w:rFonts w:hint="eastAsia"/>
          <w:color w:val="010000"/>
        </w:rPr>
        <w:t>2021年12月</w:t>
      </w:r>
      <w:r>
        <w:rPr>
          <w:rFonts w:hint="eastAsia"/>
          <w:color w:val="010000"/>
          <w:lang w:val="en-US" w:eastAsia="zh-CN"/>
        </w:rPr>
        <w:t>6</w:t>
      </w:r>
      <w:r>
        <w:rPr>
          <w:rFonts w:hint="eastAsia"/>
          <w:color w:val="010000"/>
        </w:rPr>
        <w:t>日</w:t>
      </w:r>
    </w:p>
    <w:sectPr>
      <w:footerReference r:id="rId3" w:type="default"/>
      <w:footerReference r:id="rId4" w:type="even"/>
      <w:pgSz w:w="11906" w:h="16838"/>
      <w:pgMar w:top="2098" w:right="1531" w:bottom="1984" w:left="1531"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0MN4bAgAAIQ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SfC0LszQauPQLnbvoMMxD/8BP1PXnfQm&#10;3dgPQT0CfbyAK7pIeHKaTqbTElUcdcMD4xdP7s6H+F6AIUmoqMfpZVDZYR1ibzqYpGwWVkrrPEFt&#10;SVvR66u3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GA0MN4bAgAAIQQAAA4A&#10;AAAAAAAAAQAgAAAAHwEAAGRycy9lMm9Eb2MueG1sUEsFBgAAAAAGAAYAWQEAAKwFAAAAAA==&#10;">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22B585E"/>
    <w:rsid w:val="03505C66"/>
    <w:rsid w:val="07DE0AAA"/>
    <w:rsid w:val="0CF02DEE"/>
    <w:rsid w:val="105C0A30"/>
    <w:rsid w:val="12080E07"/>
    <w:rsid w:val="12C81AA5"/>
    <w:rsid w:val="1578613D"/>
    <w:rsid w:val="193D01E0"/>
    <w:rsid w:val="196B7220"/>
    <w:rsid w:val="1D2027D0"/>
    <w:rsid w:val="1D4E12BA"/>
    <w:rsid w:val="1F4C00ED"/>
    <w:rsid w:val="226117B6"/>
    <w:rsid w:val="23445D57"/>
    <w:rsid w:val="23570372"/>
    <w:rsid w:val="256B156C"/>
    <w:rsid w:val="25B27047"/>
    <w:rsid w:val="2695076B"/>
    <w:rsid w:val="26D83835"/>
    <w:rsid w:val="27F5397D"/>
    <w:rsid w:val="2A8A05F1"/>
    <w:rsid w:val="2AFF29AF"/>
    <w:rsid w:val="2B6540BB"/>
    <w:rsid w:val="2B6F62D5"/>
    <w:rsid w:val="2B8704A8"/>
    <w:rsid w:val="30C82935"/>
    <w:rsid w:val="359D56FF"/>
    <w:rsid w:val="35EF5E14"/>
    <w:rsid w:val="37083883"/>
    <w:rsid w:val="38146403"/>
    <w:rsid w:val="38B97D28"/>
    <w:rsid w:val="3A1F5203"/>
    <w:rsid w:val="3D584BA2"/>
    <w:rsid w:val="402E288B"/>
    <w:rsid w:val="417E794A"/>
    <w:rsid w:val="45E47B16"/>
    <w:rsid w:val="47651902"/>
    <w:rsid w:val="477B47A9"/>
    <w:rsid w:val="47AE42BD"/>
    <w:rsid w:val="4A30398A"/>
    <w:rsid w:val="4A9F4CF0"/>
    <w:rsid w:val="4AC07792"/>
    <w:rsid w:val="4CE7092E"/>
    <w:rsid w:val="4E252DB9"/>
    <w:rsid w:val="5073301F"/>
    <w:rsid w:val="545424E6"/>
    <w:rsid w:val="54E47F11"/>
    <w:rsid w:val="55835057"/>
    <w:rsid w:val="57DB6B64"/>
    <w:rsid w:val="5BC50A62"/>
    <w:rsid w:val="60050F24"/>
    <w:rsid w:val="61561366"/>
    <w:rsid w:val="6383212C"/>
    <w:rsid w:val="650043EA"/>
    <w:rsid w:val="65E0558A"/>
    <w:rsid w:val="68E8683A"/>
    <w:rsid w:val="694D661D"/>
    <w:rsid w:val="696E3491"/>
    <w:rsid w:val="6AFF5937"/>
    <w:rsid w:val="6C3D2854"/>
    <w:rsid w:val="6E163EDE"/>
    <w:rsid w:val="6E984431"/>
    <w:rsid w:val="6FB47E03"/>
    <w:rsid w:val="726C3FD1"/>
    <w:rsid w:val="73815F40"/>
    <w:rsid w:val="76B77724"/>
    <w:rsid w:val="790B6F5E"/>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5">
    <w:name w:val="Default Paragraph Font"/>
    <w:unhideWhenUsed/>
    <w:uiPriority w:val="1"/>
  </w:style>
  <w:style w:type="table" w:default="1" w:styleId="7">
    <w:name w:val="Normal Table"/>
    <w:unhideWhenUsed/>
    <w:uiPriority w:val="99"/>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qFormat/>
    <w:uiPriority w:val="0"/>
  </w:style>
  <w:style w:type="character" w:customStyle="1" w:styleId="8">
    <w:name w:val="页脚 Char"/>
    <w:link w:val="3"/>
    <w:qFormat/>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 w:type="paragraph" w:customStyle="1" w:styleId="10">
    <w:name w:val="List Paragraph"/>
    <w:basedOn w:val="1"/>
    <w:qFormat/>
    <w:uiPriority w:val="34"/>
    <w:pPr>
      <w:adjustRightInd/>
      <w:spacing w:line="240" w:lineRule="auto"/>
      <w:ind w:firstLine="420" w:firstLineChars="200"/>
      <w:textAlignment w:val="auto"/>
    </w:pPr>
    <w:rPr>
      <w:rFonts w:ascii="Calibri" w:hAnsi="Calibri" w:eastAsia="宋体"/>
      <w:kern w:val="2"/>
      <w:sz w:val="21"/>
      <w:szCs w:val="22"/>
    </w:rPr>
  </w:style>
  <w:style w:type="paragraph" w:customStyle="1" w:styleId="11">
    <w:name w:val="Default"/>
    <w:qFormat/>
    <w:uiPriority w:val="0"/>
    <w:pPr>
      <w:autoSpaceDE w:val="0"/>
      <w:autoSpaceDN w:val="0"/>
      <w:adjustRightInd w:val="0"/>
    </w:pPr>
    <w:rPr>
      <w:rFonts w:ascii="Arial" w:hAnsi="Arial" w:cs="Arial"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7</TotalTime>
  <ScaleCrop>false</ScaleCrop>
  <LinksUpToDate>false</LinksUpToDate>
  <CharactersWithSpaces>36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尹强</cp:lastModifiedBy>
  <cp:lastPrinted>2021-12-07T03:27:00Z</cp:lastPrinted>
  <dcterms:modified xsi:type="dcterms:W3CDTF">2021-12-07T07:14:02Z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