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方正黑体_GBK" w:hAnsi="方正黑体_GBK" w:eastAsia="方正黑体_GBK" w:cs="方正黑体_GBK"/>
          <w:bCs/>
          <w:kern w:val="0"/>
          <w:szCs w:val="28"/>
        </w:rPr>
      </w:pPr>
      <w:bookmarkStart w:id="0" w:name="_GoBack"/>
      <w:bookmarkEnd w:id="0"/>
      <w:r>
        <w:rPr>
          <w:rFonts w:hint="eastAsia" w:ascii="方正黑体_GBK" w:hAnsi="方正黑体_GBK" w:eastAsia="方正黑体_GBK" w:cs="方正黑体_GBK"/>
          <w:bCs/>
          <w:kern w:val="0"/>
          <w:szCs w:val="28"/>
        </w:rPr>
        <w:t>附件2</w:t>
      </w:r>
    </w:p>
    <w:p>
      <w:pPr>
        <w:adjustRightInd w:val="0"/>
        <w:snapToGrid w:val="0"/>
        <w:spacing w:after="0" w:line="594" w:lineRule="exact"/>
        <w:jc w:val="center"/>
        <w:rPr>
          <w:rFonts w:hAnsi="华文中宋" w:eastAsia="方正小标宋_GBK"/>
          <w:sz w:val="44"/>
          <w:szCs w:val="44"/>
        </w:rPr>
      </w:pPr>
      <w:r>
        <w:rPr>
          <w:rFonts w:hint="eastAsia" w:hAnsi="华文中宋" w:eastAsia="方正小标宋_GBK"/>
          <w:sz w:val="44"/>
          <w:szCs w:val="44"/>
        </w:rPr>
        <w:t>竞争性比选评分办法</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ind w:firstLine="28"/>
              <w:jc w:val="center"/>
              <w:rPr>
                <w:rFonts w:ascii="方正黑体_GBK" w:eastAsia="方正黑体_GBK"/>
                <w:sz w:val="24"/>
              </w:rPr>
            </w:pPr>
            <w:r>
              <w:rPr>
                <w:rFonts w:hint="eastAsia" w:ascii="方正黑体_GBK" w:eastAsia="方正黑体_GBK"/>
                <w:sz w:val="24"/>
              </w:rPr>
              <w:t>评分因素</w:t>
            </w:r>
          </w:p>
          <w:p>
            <w:pPr>
              <w:snapToGrid w:val="0"/>
              <w:spacing w:after="0" w:line="400" w:lineRule="exact"/>
              <w:ind w:firstLine="28"/>
              <w:jc w:val="center"/>
              <w:rPr>
                <w:rFonts w:ascii="方正黑体_GBK" w:eastAsia="方正黑体_GBK"/>
                <w:sz w:val="24"/>
              </w:rPr>
            </w:pPr>
            <w:r>
              <w:rPr>
                <w:rFonts w:hint="eastAsia" w:ascii="方正黑体_GBK" w:eastAsia="方正黑体_GBK"/>
                <w:sz w:val="24"/>
              </w:rPr>
              <w:t>及权重</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ind w:firstLine="28"/>
              <w:jc w:val="center"/>
              <w:rPr>
                <w:rFonts w:ascii="方正黑体_GBK" w:eastAsia="方正黑体_GBK"/>
                <w:sz w:val="24"/>
              </w:rPr>
            </w:pPr>
            <w:r>
              <w:rPr>
                <w:rFonts w:hint="eastAsia" w:ascii="方正黑体_GBK" w:eastAsia="方正黑体_GBK"/>
                <w:sz w:val="24"/>
              </w:rPr>
              <w:t>分值</w:t>
            </w:r>
          </w:p>
        </w:tc>
        <w:tc>
          <w:tcPr>
            <w:tcW w:w="5670" w:type="dxa"/>
            <w:tcBorders>
              <w:top w:val="single" w:color="auto" w:sz="4" w:space="0"/>
              <w:left w:val="single" w:color="auto" w:sz="4" w:space="0"/>
              <w:bottom w:val="single" w:color="auto" w:sz="4" w:space="0"/>
              <w:right w:val="single" w:color="auto" w:sz="4" w:space="0"/>
            </w:tcBorders>
            <w:vAlign w:val="center"/>
          </w:tcPr>
          <w:p>
            <w:pPr>
              <w:snapToGrid w:val="0"/>
              <w:spacing w:after="0" w:line="400" w:lineRule="exact"/>
              <w:ind w:firstLine="28"/>
              <w:jc w:val="center"/>
              <w:rPr>
                <w:rFonts w:ascii="方正黑体_GBK" w:eastAsia="方正黑体_GBK"/>
                <w:sz w:val="24"/>
              </w:rPr>
            </w:pPr>
            <w:r>
              <w:rPr>
                <w:rFonts w:hint="eastAsia" w:ascii="方正黑体_GBK" w:eastAsia="方正黑体_GBK"/>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eastAsia="方正仿宋_GBK"/>
                <w:sz w:val="24"/>
              </w:rPr>
            </w:pPr>
            <w:r>
              <w:rPr>
                <w:rFonts w:eastAsia="方正仿宋_GBK"/>
                <w:sz w:val="24"/>
              </w:rPr>
              <w:t>投标报价</w:t>
            </w:r>
          </w:p>
          <w:p>
            <w:pPr>
              <w:spacing w:after="0" w:line="400" w:lineRule="exact"/>
              <w:jc w:val="center"/>
              <w:rPr>
                <w:rFonts w:eastAsia="方正仿宋_GBK"/>
                <w:sz w:val="24"/>
              </w:rPr>
            </w:pPr>
            <w:r>
              <w:rPr>
                <w:rFonts w:eastAsia="方正仿宋_GBK"/>
                <w:sz w:val="24"/>
              </w:rPr>
              <w:t>（50%）</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eastAsia="方正仿宋_GBK"/>
                <w:sz w:val="24"/>
              </w:rPr>
            </w:pPr>
            <w:r>
              <w:rPr>
                <w:rFonts w:eastAsia="方正仿宋_GBK"/>
                <w:sz w:val="24"/>
              </w:rPr>
              <w:t>50分</w:t>
            </w:r>
          </w:p>
        </w:tc>
        <w:tc>
          <w:tcPr>
            <w:tcW w:w="5670" w:type="dxa"/>
            <w:vAlign w:val="center"/>
          </w:tcPr>
          <w:p>
            <w:pPr>
              <w:snapToGrid w:val="0"/>
              <w:spacing w:after="0" w:line="400" w:lineRule="exact"/>
              <w:rPr>
                <w:rFonts w:eastAsia="方正仿宋_GBK"/>
                <w:sz w:val="24"/>
              </w:rPr>
            </w:pPr>
            <w:r>
              <w:rPr>
                <w:rFonts w:eastAsia="方正仿宋_GBK"/>
                <w:sz w:val="24"/>
              </w:rPr>
              <w:t>以参选单位的平均报价为基准，实际报价低于或高于平均报价百分之五以内的不扣分；实际报价高于或低于平均报价百分之五以上的，根据偏离度按比例扣分，每超过百分之五扣1分，直至扣完为止。报价需罗列预计支出明细，未列明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418" w:type="dxa"/>
            <w:vMerge w:val="restart"/>
            <w:tcBorders>
              <w:top w:val="single" w:color="auto" w:sz="4" w:space="0"/>
              <w:left w:val="single" w:color="auto" w:sz="4" w:space="0"/>
              <w:right w:val="single" w:color="auto" w:sz="4" w:space="0"/>
            </w:tcBorders>
            <w:vAlign w:val="center"/>
          </w:tcPr>
          <w:p>
            <w:pPr>
              <w:spacing w:after="0" w:line="400" w:lineRule="exact"/>
              <w:jc w:val="center"/>
              <w:rPr>
                <w:rFonts w:eastAsia="方正仿宋_GBK"/>
                <w:sz w:val="24"/>
              </w:rPr>
            </w:pPr>
            <w:r>
              <w:rPr>
                <w:rFonts w:eastAsia="方正仿宋_GBK"/>
                <w:sz w:val="24"/>
              </w:rPr>
              <w:t>评估方案（20%）</w:t>
            </w:r>
          </w:p>
        </w:tc>
        <w:tc>
          <w:tcPr>
            <w:tcW w:w="1843" w:type="dxa"/>
            <w:vAlign w:val="center"/>
          </w:tcPr>
          <w:p>
            <w:pPr>
              <w:widowControl/>
              <w:spacing w:after="0" w:line="400" w:lineRule="exact"/>
              <w:jc w:val="center"/>
              <w:rPr>
                <w:rFonts w:eastAsia="方正仿宋_GBK"/>
                <w:sz w:val="24"/>
              </w:rPr>
            </w:pPr>
            <w:r>
              <w:rPr>
                <w:rFonts w:eastAsia="方正仿宋_GBK"/>
                <w:sz w:val="24"/>
              </w:rPr>
              <w:t>评估认识</w:t>
            </w:r>
          </w:p>
          <w:p>
            <w:pPr>
              <w:widowControl/>
              <w:spacing w:after="0" w:line="400" w:lineRule="exact"/>
              <w:jc w:val="center"/>
              <w:rPr>
                <w:rFonts w:eastAsia="方正仿宋_GBK"/>
                <w:sz w:val="24"/>
              </w:rPr>
            </w:pPr>
            <w:r>
              <w:rPr>
                <w:rFonts w:eastAsia="方正仿宋_GBK"/>
                <w:sz w:val="24"/>
              </w:rPr>
              <w:t>（5分）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对评估报告编制工作的目的、背景、工作重点的了解和认识程度。优秀得5分，良好得4分，一般得3分，较差的小于3分。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418" w:type="dxa"/>
            <w:vMerge w:val="continue"/>
            <w:tcBorders>
              <w:left w:val="single" w:color="auto" w:sz="4" w:space="0"/>
              <w:right w:val="single" w:color="auto" w:sz="4" w:space="0"/>
            </w:tcBorders>
            <w:vAlign w:val="center"/>
          </w:tcPr>
          <w:p>
            <w:pPr>
              <w:spacing w:after="0" w:line="400" w:lineRule="exact"/>
              <w:jc w:val="center"/>
              <w:rPr>
                <w:rFonts w:eastAsia="方正仿宋_GBK"/>
                <w:sz w:val="24"/>
              </w:rPr>
            </w:pPr>
          </w:p>
        </w:tc>
        <w:tc>
          <w:tcPr>
            <w:tcW w:w="1843" w:type="dxa"/>
            <w:vAlign w:val="center"/>
          </w:tcPr>
          <w:p>
            <w:pPr>
              <w:widowControl/>
              <w:spacing w:after="0" w:line="400" w:lineRule="exact"/>
              <w:jc w:val="center"/>
              <w:rPr>
                <w:rFonts w:eastAsia="方正仿宋_GBK"/>
                <w:sz w:val="24"/>
              </w:rPr>
            </w:pPr>
            <w:r>
              <w:rPr>
                <w:rFonts w:eastAsia="方正仿宋_GBK"/>
                <w:sz w:val="24"/>
              </w:rPr>
              <w:t>工作思路</w:t>
            </w:r>
          </w:p>
          <w:p>
            <w:pPr>
              <w:widowControl/>
              <w:spacing w:after="0" w:line="400" w:lineRule="exact"/>
              <w:jc w:val="center"/>
              <w:rPr>
                <w:rFonts w:eastAsia="方正仿宋_GBK"/>
                <w:sz w:val="24"/>
              </w:rPr>
            </w:pPr>
            <w:r>
              <w:rPr>
                <w:rFonts w:eastAsia="方正仿宋_GBK"/>
                <w:sz w:val="24"/>
              </w:rPr>
              <w:t>（5分）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shd w:val="clear" w:color="auto" w:fill="FFFFFF"/>
              </w:rPr>
              <w:t>工作思路清晰，评估重点突出，方法得当，逻辑严密等。</w:t>
            </w:r>
            <w:r>
              <w:rPr>
                <w:rFonts w:eastAsia="方正仿宋_GBK"/>
                <w:sz w:val="24"/>
              </w:rPr>
              <w:t>优秀得5分，良好得4分，一般得3分，较差的小于3分。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418" w:type="dxa"/>
            <w:vMerge w:val="continue"/>
            <w:tcBorders>
              <w:left w:val="single" w:color="auto" w:sz="4" w:space="0"/>
              <w:right w:val="single" w:color="auto" w:sz="4" w:space="0"/>
            </w:tcBorders>
            <w:vAlign w:val="center"/>
          </w:tcPr>
          <w:p>
            <w:pPr>
              <w:spacing w:after="0" w:line="400" w:lineRule="exact"/>
              <w:jc w:val="center"/>
              <w:rPr>
                <w:rFonts w:eastAsia="方正仿宋_GBK"/>
                <w:sz w:val="24"/>
              </w:rPr>
            </w:pPr>
          </w:p>
        </w:tc>
        <w:tc>
          <w:tcPr>
            <w:tcW w:w="1843" w:type="dxa"/>
            <w:vAlign w:val="center"/>
          </w:tcPr>
          <w:p>
            <w:pPr>
              <w:spacing w:after="0" w:line="400" w:lineRule="exact"/>
              <w:jc w:val="center"/>
              <w:rPr>
                <w:rFonts w:eastAsia="方正仿宋_GBK"/>
                <w:sz w:val="24"/>
              </w:rPr>
            </w:pPr>
            <w:r>
              <w:rPr>
                <w:rFonts w:eastAsia="方正仿宋_GBK"/>
                <w:sz w:val="24"/>
              </w:rPr>
              <w:t>编制提纲</w:t>
            </w:r>
          </w:p>
          <w:p>
            <w:pPr>
              <w:spacing w:after="0" w:line="400" w:lineRule="exact"/>
              <w:jc w:val="center"/>
              <w:rPr>
                <w:rFonts w:eastAsia="方正仿宋_GBK"/>
                <w:sz w:val="24"/>
              </w:rPr>
            </w:pPr>
            <w:r>
              <w:rPr>
                <w:rFonts w:eastAsia="方正仿宋_GBK"/>
                <w:sz w:val="24"/>
              </w:rPr>
              <w:t>（5分）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提纲结构严谨，重点突出，条理清晰。优秀得5分，良好得4分，一般得3分，较差的小于3分。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418" w:type="dxa"/>
            <w:vMerge w:val="continue"/>
            <w:tcBorders>
              <w:left w:val="single" w:color="auto" w:sz="4" w:space="0"/>
              <w:right w:val="single" w:color="auto" w:sz="4" w:space="0"/>
            </w:tcBorders>
            <w:vAlign w:val="center"/>
          </w:tcPr>
          <w:p>
            <w:pPr>
              <w:spacing w:after="0" w:line="400" w:lineRule="exact"/>
              <w:jc w:val="center"/>
              <w:rPr>
                <w:rFonts w:eastAsia="方正仿宋_GBK"/>
                <w:sz w:val="24"/>
              </w:rPr>
            </w:pPr>
          </w:p>
        </w:tc>
        <w:tc>
          <w:tcPr>
            <w:tcW w:w="1843" w:type="dxa"/>
            <w:vAlign w:val="center"/>
          </w:tcPr>
          <w:p>
            <w:pPr>
              <w:spacing w:after="0" w:line="400" w:lineRule="exact"/>
              <w:jc w:val="center"/>
              <w:rPr>
                <w:rFonts w:eastAsia="方正仿宋_GBK"/>
                <w:sz w:val="24"/>
              </w:rPr>
            </w:pPr>
            <w:r>
              <w:rPr>
                <w:rFonts w:eastAsia="方正仿宋_GBK"/>
                <w:sz w:val="24"/>
              </w:rPr>
              <w:t>进度安排</w:t>
            </w:r>
          </w:p>
          <w:p>
            <w:pPr>
              <w:spacing w:after="0" w:line="400" w:lineRule="exact"/>
              <w:jc w:val="center"/>
              <w:rPr>
                <w:rFonts w:eastAsia="方正仿宋_GBK"/>
                <w:sz w:val="24"/>
              </w:rPr>
            </w:pPr>
            <w:r>
              <w:rPr>
                <w:rFonts w:eastAsia="方正仿宋_GBK"/>
                <w:sz w:val="24"/>
              </w:rPr>
              <w:t>（5分）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对项目各阶段完成的研究内容有详尽的描述，进度安排设计合理，阶段任务明确，时间节点清晰。优秀得5分，良好得4分，一般得3分，较差的小于3分。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1418" w:type="dxa"/>
            <w:vMerge w:val="restart"/>
            <w:tcBorders>
              <w:top w:val="single" w:color="auto" w:sz="4" w:space="0"/>
              <w:left w:val="single" w:color="auto" w:sz="4" w:space="0"/>
              <w:right w:val="single" w:color="auto" w:sz="4" w:space="0"/>
            </w:tcBorders>
            <w:vAlign w:val="center"/>
          </w:tcPr>
          <w:p>
            <w:pPr>
              <w:spacing w:after="0" w:line="400" w:lineRule="exact"/>
              <w:jc w:val="center"/>
              <w:rPr>
                <w:rFonts w:eastAsia="方正仿宋_GBK"/>
                <w:sz w:val="24"/>
              </w:rPr>
            </w:pPr>
            <w:r>
              <w:rPr>
                <w:rFonts w:eastAsia="方正仿宋_GBK"/>
                <w:sz w:val="24"/>
              </w:rPr>
              <w:t>商务部分（30%）</w:t>
            </w: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单位业绩和奖项（12分）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（1）业绩（12分）。近三年（从2021年1月1日起）以来竞选人承担过总投资5亿元以上的水利工程项目可行性研究报告评估任务的（包含满足资格条件的业绩），每有1个得3分，最多得12分。（需提供委托函或合同）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1418" w:type="dxa"/>
            <w:vMerge w:val="continue"/>
            <w:tcBorders>
              <w:left w:val="single" w:color="auto" w:sz="4" w:space="0"/>
              <w:right w:val="single" w:color="auto" w:sz="4" w:space="0"/>
            </w:tcBorders>
            <w:vAlign w:val="center"/>
          </w:tcPr>
          <w:p>
            <w:pPr>
              <w:widowControl/>
              <w:spacing w:after="0" w:line="400" w:lineRule="exact"/>
              <w:jc w:val="left"/>
              <w:rPr>
                <w:rFonts w:eastAsia="方正仿宋_GBK"/>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本项目负责人资质（8分）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拟投入本项目的负责人具有登记为水利专业的咨询工程师（投资）证书的得4分，具有正高级水利工程专业技术职称的得4分。本项最多得8分。（需提供社保缴纳证明和相关证书）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spacing w:after="0" w:line="400" w:lineRule="exact"/>
              <w:jc w:val="left"/>
              <w:rPr>
                <w:rFonts w:eastAsia="方正仿宋_GBK"/>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人员配置</w:t>
            </w:r>
          </w:p>
          <w:p>
            <w:pPr>
              <w:spacing w:after="0" w:line="400" w:lineRule="exact"/>
              <w:rPr>
                <w:rFonts w:eastAsia="方正仿宋_GBK"/>
                <w:sz w:val="24"/>
              </w:rPr>
            </w:pPr>
            <w:r>
              <w:rPr>
                <w:rFonts w:eastAsia="方正仿宋_GBK"/>
                <w:sz w:val="24"/>
              </w:rPr>
              <w:t>（10分）</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eastAsia="方正仿宋_GBK"/>
                <w:sz w:val="24"/>
              </w:rPr>
            </w:pPr>
            <w:r>
              <w:rPr>
                <w:rFonts w:eastAsia="方正仿宋_GBK"/>
                <w:sz w:val="24"/>
              </w:rPr>
              <w:t>项目成员中具有高级及以上专业技术职称且具有登记为水利专业的咨询工程师（投资）证书的人员，每名得2分，最高得10分。（需提供社保缴纳证明和相关证书）</w:t>
            </w:r>
          </w:p>
        </w:tc>
      </w:tr>
    </w:tbl>
    <w:p>
      <w:pPr>
        <w:spacing w:after="0" w:line="400" w:lineRule="exact"/>
        <w:ind w:firstLine="472" w:firstLineChars="200"/>
        <w:rPr>
          <w:rFonts w:ascii="方正仿宋_GBK" w:eastAsia="方正仿宋_GBK"/>
          <w:sz w:val="24"/>
        </w:rPr>
      </w:pPr>
      <w:r>
        <w:rPr>
          <w:rFonts w:hint="eastAsia" w:ascii="方正仿宋_GBK" w:eastAsia="方正仿宋_GBK"/>
          <w:sz w:val="24"/>
        </w:rPr>
        <w:t>本项目按照评分办法进行评审，以分值最高者为第一中选候选人。若分值一致，以提供的业绩总投资金额大的优先；若业绩总投资金额也一致，以项目负责人职称等级高的优先；若项目负责人职称等级也一致，以人员配置中咨询工程师（投资）人数多的优先。</w:t>
      </w:r>
    </w:p>
    <w:p>
      <w:pPr>
        <w:spacing w:after="0" w:line="594" w:lineRule="exact"/>
        <w:ind w:firstLine="632" w:firstLineChars="200"/>
        <w:rPr>
          <w:rFonts w:hAnsi="Calibri" w:eastAsia="方正仿宋_GBK"/>
        </w:rPr>
      </w:pPr>
    </w:p>
    <w:p>
      <w:pPr>
        <w:spacing w:after="0" w:line="594" w:lineRule="exact"/>
        <w:ind w:firstLine="632" w:firstLineChars="200"/>
        <w:rPr>
          <w:rFonts w:hAnsi="Calibri" w:eastAsia="方正仿宋_GBK"/>
        </w:rPr>
      </w:pPr>
    </w:p>
    <w:sectPr>
      <w:headerReference r:id="rId7" w:type="first"/>
      <w:headerReference r:id="rId5" w:type="default"/>
      <w:footerReference r:id="rId8" w:type="default"/>
      <w:headerReference r:id="rId6" w:type="even"/>
      <w:footerReference r:id="rId9" w:type="even"/>
      <w:pgSz w:w="11906" w:h="16838"/>
      <w:pgMar w:top="1984" w:right="1474" w:bottom="1871" w:left="1587" w:header="850" w:footer="1417" w:gutter="0"/>
      <w:cols w:space="720" w:num="1"/>
      <w:docGrid w:type="linesAndChars" w:linePitch="59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after="0" w:line="240" w:lineRule="auto"/>
      <w:ind w:left="32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after="0" w:line="240" w:lineRule="auto"/>
      <w:ind w:left="320" w:leftChars="100" w:firstLine="7280" w:firstLineChars="26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0"/>
  <w:evenAndOddHeaders w:val="1"/>
  <w:drawingGridHorizontalSpacing w:val="158"/>
  <w:drawingGridVerticalSpacing w:val="29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M2I0MWY2MzBiZDZhYzJkNDk2NmQ3MzU3Mzk2NGQifQ=="/>
  </w:docVars>
  <w:rsids>
    <w:rsidRoot w:val="003851FB"/>
    <w:rsid w:val="00002675"/>
    <w:rsid w:val="00012965"/>
    <w:rsid w:val="00013A8E"/>
    <w:rsid w:val="00023D51"/>
    <w:rsid w:val="000D1628"/>
    <w:rsid w:val="000E0CEE"/>
    <w:rsid w:val="000E2DF3"/>
    <w:rsid w:val="000E6B02"/>
    <w:rsid w:val="000F4649"/>
    <w:rsid w:val="00121B20"/>
    <w:rsid w:val="001404E0"/>
    <w:rsid w:val="00143EDA"/>
    <w:rsid w:val="00177A81"/>
    <w:rsid w:val="001B0D66"/>
    <w:rsid w:val="001B1A61"/>
    <w:rsid w:val="001C1DCF"/>
    <w:rsid w:val="001D2476"/>
    <w:rsid w:val="001E343B"/>
    <w:rsid w:val="00224089"/>
    <w:rsid w:val="00232FF2"/>
    <w:rsid w:val="00271F2D"/>
    <w:rsid w:val="00273921"/>
    <w:rsid w:val="002912BF"/>
    <w:rsid w:val="002933D5"/>
    <w:rsid w:val="002B3400"/>
    <w:rsid w:val="003004A7"/>
    <w:rsid w:val="00326F5F"/>
    <w:rsid w:val="00340BE3"/>
    <w:rsid w:val="003814A9"/>
    <w:rsid w:val="003851FB"/>
    <w:rsid w:val="003A393B"/>
    <w:rsid w:val="003A3E1E"/>
    <w:rsid w:val="003C2DA1"/>
    <w:rsid w:val="003D0206"/>
    <w:rsid w:val="003E203F"/>
    <w:rsid w:val="004079AF"/>
    <w:rsid w:val="0041616A"/>
    <w:rsid w:val="00437C19"/>
    <w:rsid w:val="00446E74"/>
    <w:rsid w:val="004529F8"/>
    <w:rsid w:val="00465F59"/>
    <w:rsid w:val="00493303"/>
    <w:rsid w:val="004945B8"/>
    <w:rsid w:val="00495663"/>
    <w:rsid w:val="004C318B"/>
    <w:rsid w:val="004F4F25"/>
    <w:rsid w:val="0051344F"/>
    <w:rsid w:val="00516DD6"/>
    <w:rsid w:val="00585030"/>
    <w:rsid w:val="005913B5"/>
    <w:rsid w:val="00595A88"/>
    <w:rsid w:val="005D3746"/>
    <w:rsid w:val="005F207F"/>
    <w:rsid w:val="00642AF6"/>
    <w:rsid w:val="00645652"/>
    <w:rsid w:val="00677459"/>
    <w:rsid w:val="006D6FAA"/>
    <w:rsid w:val="0070493A"/>
    <w:rsid w:val="00714B5D"/>
    <w:rsid w:val="007532C2"/>
    <w:rsid w:val="00762E83"/>
    <w:rsid w:val="007911B1"/>
    <w:rsid w:val="007C3136"/>
    <w:rsid w:val="007C4FEA"/>
    <w:rsid w:val="008439A6"/>
    <w:rsid w:val="008479AF"/>
    <w:rsid w:val="008521A7"/>
    <w:rsid w:val="008C17EE"/>
    <w:rsid w:val="008D689B"/>
    <w:rsid w:val="009107CB"/>
    <w:rsid w:val="00915CD2"/>
    <w:rsid w:val="00915E02"/>
    <w:rsid w:val="00925201"/>
    <w:rsid w:val="009B55D3"/>
    <w:rsid w:val="00A10104"/>
    <w:rsid w:val="00A12D49"/>
    <w:rsid w:val="00A309A7"/>
    <w:rsid w:val="00A71D9F"/>
    <w:rsid w:val="00A925C7"/>
    <w:rsid w:val="00AE0B95"/>
    <w:rsid w:val="00AE3C40"/>
    <w:rsid w:val="00AF6CBD"/>
    <w:rsid w:val="00B105BD"/>
    <w:rsid w:val="00B16378"/>
    <w:rsid w:val="00B43F64"/>
    <w:rsid w:val="00B47A14"/>
    <w:rsid w:val="00B50286"/>
    <w:rsid w:val="00B805A2"/>
    <w:rsid w:val="00B862D7"/>
    <w:rsid w:val="00B863F7"/>
    <w:rsid w:val="00B87C6C"/>
    <w:rsid w:val="00BA5DEF"/>
    <w:rsid w:val="00C13005"/>
    <w:rsid w:val="00C32493"/>
    <w:rsid w:val="00C70AAD"/>
    <w:rsid w:val="00C74B7F"/>
    <w:rsid w:val="00C9457C"/>
    <w:rsid w:val="00C95C65"/>
    <w:rsid w:val="00C96875"/>
    <w:rsid w:val="00C97B3C"/>
    <w:rsid w:val="00CB67AF"/>
    <w:rsid w:val="00CC347C"/>
    <w:rsid w:val="00CC42FC"/>
    <w:rsid w:val="00CD7F03"/>
    <w:rsid w:val="00CE7744"/>
    <w:rsid w:val="00CF2EF6"/>
    <w:rsid w:val="00CF7AAC"/>
    <w:rsid w:val="00D11494"/>
    <w:rsid w:val="00D126F4"/>
    <w:rsid w:val="00D20B65"/>
    <w:rsid w:val="00D30287"/>
    <w:rsid w:val="00D5514F"/>
    <w:rsid w:val="00D66DF0"/>
    <w:rsid w:val="00DE4CFE"/>
    <w:rsid w:val="00DF4128"/>
    <w:rsid w:val="00E15534"/>
    <w:rsid w:val="00E371E5"/>
    <w:rsid w:val="00E73769"/>
    <w:rsid w:val="00E82A7C"/>
    <w:rsid w:val="00EB13C8"/>
    <w:rsid w:val="00EB764E"/>
    <w:rsid w:val="00F62982"/>
    <w:rsid w:val="00F76692"/>
    <w:rsid w:val="00F81286"/>
    <w:rsid w:val="00F92446"/>
    <w:rsid w:val="03DF159F"/>
    <w:rsid w:val="053E5163"/>
    <w:rsid w:val="05FD313A"/>
    <w:rsid w:val="073401D3"/>
    <w:rsid w:val="07741B08"/>
    <w:rsid w:val="089D7AD1"/>
    <w:rsid w:val="0962248A"/>
    <w:rsid w:val="0A6E0B7B"/>
    <w:rsid w:val="0C791917"/>
    <w:rsid w:val="0FDF1E76"/>
    <w:rsid w:val="0FE5322B"/>
    <w:rsid w:val="10D95EE7"/>
    <w:rsid w:val="13F60821"/>
    <w:rsid w:val="16895D48"/>
    <w:rsid w:val="1A06336E"/>
    <w:rsid w:val="1B430D39"/>
    <w:rsid w:val="1B69491E"/>
    <w:rsid w:val="1B7603B9"/>
    <w:rsid w:val="1B9A3CD7"/>
    <w:rsid w:val="2078393B"/>
    <w:rsid w:val="209334C0"/>
    <w:rsid w:val="217878D3"/>
    <w:rsid w:val="232277EB"/>
    <w:rsid w:val="2574047D"/>
    <w:rsid w:val="25C45DD0"/>
    <w:rsid w:val="25E76D78"/>
    <w:rsid w:val="27FF4C0F"/>
    <w:rsid w:val="29975D96"/>
    <w:rsid w:val="29BF0D6A"/>
    <w:rsid w:val="2C791D30"/>
    <w:rsid w:val="2ED146D8"/>
    <w:rsid w:val="31194FF5"/>
    <w:rsid w:val="33BA7FE7"/>
    <w:rsid w:val="349400DD"/>
    <w:rsid w:val="35D87520"/>
    <w:rsid w:val="37226B2E"/>
    <w:rsid w:val="38860EF8"/>
    <w:rsid w:val="38E42B66"/>
    <w:rsid w:val="397FDBA3"/>
    <w:rsid w:val="39B87C26"/>
    <w:rsid w:val="3ADD0D2F"/>
    <w:rsid w:val="3C1813A4"/>
    <w:rsid w:val="3EA6B3E0"/>
    <w:rsid w:val="3EB95C2F"/>
    <w:rsid w:val="3F77448B"/>
    <w:rsid w:val="3FB04FD8"/>
    <w:rsid w:val="40713CB2"/>
    <w:rsid w:val="41CF6E95"/>
    <w:rsid w:val="42260CB6"/>
    <w:rsid w:val="469E1A2B"/>
    <w:rsid w:val="49EE7E8E"/>
    <w:rsid w:val="4B901606"/>
    <w:rsid w:val="4DBCA674"/>
    <w:rsid w:val="4FF94C1A"/>
    <w:rsid w:val="53A405E4"/>
    <w:rsid w:val="53B953E8"/>
    <w:rsid w:val="53DD4550"/>
    <w:rsid w:val="541C285D"/>
    <w:rsid w:val="57661FAC"/>
    <w:rsid w:val="595805F6"/>
    <w:rsid w:val="5A404668"/>
    <w:rsid w:val="5B9E7940"/>
    <w:rsid w:val="5C9653C1"/>
    <w:rsid w:val="5E251431"/>
    <w:rsid w:val="5FA94601"/>
    <w:rsid w:val="611B3C3B"/>
    <w:rsid w:val="62061579"/>
    <w:rsid w:val="64E81EFD"/>
    <w:rsid w:val="652B796C"/>
    <w:rsid w:val="6717752F"/>
    <w:rsid w:val="6876679B"/>
    <w:rsid w:val="69702936"/>
    <w:rsid w:val="6AAD6DE4"/>
    <w:rsid w:val="6B1878CB"/>
    <w:rsid w:val="6B282560"/>
    <w:rsid w:val="6C35118E"/>
    <w:rsid w:val="6D002903"/>
    <w:rsid w:val="6DC36BE4"/>
    <w:rsid w:val="6F5D0946"/>
    <w:rsid w:val="6FF7F330"/>
    <w:rsid w:val="70703C63"/>
    <w:rsid w:val="7264193E"/>
    <w:rsid w:val="74661BC8"/>
    <w:rsid w:val="76943C19"/>
    <w:rsid w:val="770065E9"/>
    <w:rsid w:val="773442F2"/>
    <w:rsid w:val="791E0CEE"/>
    <w:rsid w:val="7A9244A9"/>
    <w:rsid w:val="7B77D536"/>
    <w:rsid w:val="7BB7AE6E"/>
    <w:rsid w:val="7BF61EFA"/>
    <w:rsid w:val="9A7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paragraph" w:customStyle="1" w:styleId="9">
    <w:name w:val="Char"/>
    <w:basedOn w:val="1"/>
    <w:qFormat/>
    <w:uiPriority w:val="0"/>
    <w:pPr>
      <w:tabs>
        <w:tab w:val="left" w:pos="432"/>
      </w:tabs>
      <w:ind w:left="432" w:hanging="432"/>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128</Words>
  <Characters>736</Characters>
  <Lines>6</Lines>
  <Paragraphs>1</Paragraphs>
  <TotalTime>524</TotalTime>
  <ScaleCrop>false</ScaleCrop>
  <LinksUpToDate>false</LinksUpToDate>
  <CharactersWithSpaces>863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2008-09-28T07:08:00Z</dcterms:created>
  <dc:creator>微软用户</dc:creator>
  <cp:lastModifiedBy>周卒</cp:lastModifiedBy>
  <cp:lastPrinted>2024-10-30T06:37:00Z</cp:lastPrinted>
  <dcterms:modified xsi:type="dcterms:W3CDTF">2025-01-13T03:01:07Z</dcterms:modified>
  <dc:title>重庆市发展和改革委员会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A2CB55F63AEC44F8ACF68E41FBD9D990_13</vt:lpwstr>
  </property>
  <property fmtid="{D5CDD505-2E9C-101B-9397-08002B2CF9AE}" pid="3" name="KSOProductBuildVer">
    <vt:lpwstr>2052-11.8.2.12251</vt:lpwstr>
  </property>
</Properties>
</file>