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方正黑体_GBK" w:cs="方正黑体_GBK"/>
          <w:color w:val="333333"/>
          <w:sz w:val="32"/>
          <w:szCs w:val="32"/>
          <w:shd w:val="clear" w:color="auto" w:fill="FFFFFF"/>
          <w:lang w:val="en" w:eastAsia="zh-CN"/>
        </w:rPr>
        <w:t>3</w:t>
      </w:r>
    </w:p>
    <w:p>
      <w:pPr>
        <w:adjustRightInd w:val="0"/>
        <w:snapToGrid w:val="0"/>
        <w:jc w:val="center"/>
        <w:rPr>
          <w:rFonts w:ascii="Times New Roman" w:hAnsi="Times New Roman" w:eastAsia="华文中宋"/>
          <w:b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华文中宋"/>
          <w:b/>
          <w:color w:val="auto"/>
          <w:sz w:val="44"/>
          <w:szCs w:val="44"/>
          <w:highlight w:val="none"/>
        </w:rPr>
        <w:t>竞争性比选评分办法</w:t>
      </w:r>
    </w:p>
    <w:tbl>
      <w:tblPr>
        <w:tblStyle w:val="2"/>
        <w:tblpPr w:leftFromText="180" w:rightFromText="180" w:vertAnchor="text" w:horzAnchor="page" w:tblpX="1630" w:tblpY="581"/>
        <w:tblOverlap w:val="never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388"/>
        <w:gridCol w:w="6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评分因素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及权重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分值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28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黑体_GBK" w:cs="方正黑体_GBK"/>
                <w:color w:val="auto"/>
                <w:sz w:val="24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投标报价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（10%）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10分</w:t>
            </w:r>
          </w:p>
        </w:tc>
        <w:tc>
          <w:tcPr>
            <w:tcW w:w="63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报价最低者满分，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低者扣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0.5分，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以此类推。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方案评估（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%）</w:t>
            </w: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框架提纲（10分）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提纲内容符合本课题研究要求，详实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专业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，结构严谨，重点突出，条理清晰，具有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一定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创新性、科学性及可操性。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研究思路（20分）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思路新颖及清晰、定位准确，对现状分析、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机遇挑战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认知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具有前瞻性、科学性、系统性，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可提出具备可操作性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和针对性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任务举措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保障措施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技术路线（20分）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研究过程路线清晰，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方法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得当，逻辑严密等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进度安排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进度安排设计合理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，能按期完成研究要求。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</w:rPr>
              <w:t>申报材料质量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申报材料完整、齐备、装订美观整洁，得满分。否则酌情扣分。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综合研究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实力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%）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资质（5分）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具独立法人资格，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非联合体。本课题团队人员常驻重庆，持续提供支持和支撑。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具有甲级资信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或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被认定为省部级及以上重点研究机构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（包括拥有新型重点智库的机构）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的得5分，具有乙级资信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或拥有新型培育智库的研究机构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得3分。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同一单位具有多个资质时，只计算一次。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相关资质未提供证明的，不得分。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业绩（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10分）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5年来，参选单位独立承担过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u w:val="none"/>
                <w:lang w:eastAsia="zh-CN"/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，每有1项得2分。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相关业绩未提供证明的，不得分。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</w:trPr>
        <w:tc>
          <w:tcPr>
            <w:tcW w:w="12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人员配置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分）</w:t>
            </w:r>
          </w:p>
        </w:tc>
        <w:tc>
          <w:tcPr>
            <w:tcW w:w="6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成员不少于5人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，为参选单位工作经历一年以上正式员工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相关业绩未提供证明的，不得分。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（1）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项目负责人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具有正高级职称的得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分，具有副高职称的得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。主持过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4"/>
                <w:highlight w:val="none"/>
                <w:u w:val="none"/>
                <w:lang w:eastAsia="zh-CN"/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相关研究，每有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1个得0.5分，最多3分。最高得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项目技术负责人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具有正高级职称的得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分，具有副高职称的得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。担任项目负责人或项目技术负责人，主持过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u w:val="none"/>
                <w:lang w:eastAsia="zh-CN"/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相关研究，每有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1个得0.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分，最多3分。最高得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（3）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其他研究人员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：参与过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省域范围（省、自治区、直辖市）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u w:val="none"/>
                <w:lang w:eastAsia="zh-CN"/>
              </w:rPr>
              <w:t>服务业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相关研究，每有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1个得0.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分，最多1分。最高得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分。</w:t>
            </w:r>
          </w:p>
        </w:tc>
      </w:tr>
    </w:tbl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8FC6421"/>
    <w:rsid w:val="D8FC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</w:pPr>
    <w:rPr>
      <w:rFonts w:ascii="Arial" w:hAnsi="Arial" w:eastAsia="方正小标宋_GBK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2022-10-20T10:06:00Z</dcterms:created>
  <dc:creator>fgw</dc:creator>
  <cp:lastModifiedBy>fgw</cp:lastModifiedBy>
  <dcterms:modified xsi:type="dcterms:W3CDTF">2022-10-20T10:08:51Z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