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jc w:val="left"/>
        <w:textAlignment w:val="auto"/>
        <w:outlineLvl w:val="9"/>
        <w:rPr>
          <w:rFonts w:hint="eastAsia" w:ascii="方正仿宋_GBK" w:hAnsi="方正仿宋_GBK" w:eastAsia="方正仿宋_GBK" w:cs="方正仿宋_GBK"/>
          <w:i w:val="0"/>
          <w:caps w:val="0"/>
          <w:color w:val="333333"/>
          <w:spacing w:val="0"/>
          <w:sz w:val="32"/>
          <w:szCs w:val="32"/>
          <w:shd w:val="clear" w:fill="FFFFFF"/>
        </w:rPr>
      </w:pPr>
      <w:r>
        <w:rPr>
          <w:rFonts w:hint="eastAsia" w:ascii="方正黑体_GBK" w:hAnsi="方正黑体_GBK" w:eastAsia="方正黑体_GBK" w:cs="方正黑体_GBK"/>
          <w:i w:val="0"/>
          <w:caps w:val="0"/>
          <w:color w:val="333333"/>
          <w:spacing w:val="0"/>
          <w:sz w:val="32"/>
          <w:szCs w:val="32"/>
          <w:shd w:val="clear" w:fill="FFFFFF"/>
          <w:lang w:eastAsia="zh-CN"/>
        </w:rPr>
        <w:t>附件</w:t>
      </w:r>
      <w:r>
        <w:rPr>
          <w:rFonts w:hint="eastAsia" w:ascii="方正黑体_GBK" w:hAnsi="方正黑体_GBK" w:eastAsia="方正黑体_GBK" w:cs="方正黑体_GBK"/>
          <w:i w:val="0"/>
          <w:caps w:val="0"/>
          <w:color w:val="333333"/>
          <w:spacing w:val="0"/>
          <w:sz w:val="32"/>
          <w:szCs w:val="32"/>
          <w:shd w:val="clear" w:fill="FFFFFF"/>
          <w:lang w:val="en-US" w:eastAsia="zh-CN"/>
        </w:rPr>
        <w:t>1</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rightChars="0" w:firstLine="420"/>
        <w:jc w:val="center"/>
        <w:textAlignment w:val="auto"/>
        <w:outlineLvl w:val="9"/>
        <w:rPr>
          <w:rFonts w:hint="eastAsia" w:ascii="方正小标宋_GBK" w:hAnsi="方正小标宋_GBK" w:eastAsia="方正小标宋_GBK" w:cs="方正小标宋_GBK"/>
          <w:i w:val="0"/>
          <w:caps w:val="0"/>
          <w:color w:val="333333"/>
          <w:spacing w:val="0"/>
          <w:sz w:val="44"/>
          <w:szCs w:val="44"/>
          <w:shd w:val="clear" w:fill="FFFFFF"/>
          <w:lang w:eastAsia="zh-CN"/>
        </w:rPr>
      </w:pPr>
      <w:r>
        <w:rPr>
          <w:rFonts w:hint="eastAsia" w:ascii="方正小标宋_GBK" w:hAnsi="方正小标宋_GBK" w:eastAsia="方正小标宋_GBK" w:cs="方正小标宋_GBK"/>
          <w:i w:val="0"/>
          <w:caps w:val="0"/>
          <w:color w:val="333333"/>
          <w:spacing w:val="0"/>
          <w:sz w:val="44"/>
          <w:szCs w:val="44"/>
          <w:shd w:val="clear" w:fill="FFFFFF"/>
          <w:lang w:eastAsia="zh-CN"/>
        </w:rPr>
        <w:t>课题研究内容及要求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eastAsia" w:ascii="方正仿宋_GBK" w:hAnsi="方正仿宋_GBK" w:eastAsia="方正仿宋_GBK" w:cs="方正仿宋_GBK"/>
          <w:i w:val="0"/>
          <w:caps w:val="0"/>
          <w:color w:val="333333"/>
          <w:spacing w:val="0"/>
          <w:sz w:val="32"/>
          <w:szCs w:val="32"/>
          <w:shd w:val="clear" w:fill="FFFFFF"/>
        </w:rPr>
      </w:pPr>
    </w:p>
    <w:tbl>
      <w:tblPr>
        <w:tblStyle w:val="8"/>
        <w:tblW w:w="13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5675"/>
        <w:gridCol w:w="775"/>
        <w:gridCol w:w="1331"/>
        <w:gridCol w:w="3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blHeader/>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方正黑体_GBK" w:hAnsi="方正黑体_GBK" w:eastAsia="方正黑体_GBK" w:cs="方正黑体_GBK"/>
                <w:i w:val="0"/>
                <w:caps w:val="0"/>
                <w:color w:val="333333"/>
                <w:spacing w:val="0"/>
                <w:sz w:val="24"/>
                <w:szCs w:val="24"/>
                <w:shd w:val="clear" w:fill="FFFFFF"/>
                <w:vertAlign w:val="baseline"/>
                <w:lang w:eastAsia="zh-CN"/>
              </w:rPr>
            </w:pPr>
            <w:r>
              <w:rPr>
                <w:rFonts w:hint="eastAsia" w:ascii="方正黑体_GBK" w:hAnsi="方正黑体_GBK" w:eastAsia="方正黑体_GBK" w:cs="方正黑体_GBK"/>
                <w:i w:val="0"/>
                <w:caps w:val="0"/>
                <w:color w:val="333333"/>
                <w:spacing w:val="0"/>
                <w:sz w:val="24"/>
                <w:szCs w:val="24"/>
                <w:shd w:val="clear" w:fill="FFFFFF"/>
                <w:vertAlign w:val="baseline"/>
                <w:lang w:eastAsia="zh-CN"/>
              </w:rPr>
              <w:t>课题名称</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方正黑体_GBK" w:hAnsi="方正黑体_GBK" w:eastAsia="方正黑体_GBK" w:cs="方正黑体_GBK"/>
                <w:i w:val="0"/>
                <w:caps w:val="0"/>
                <w:color w:val="333333"/>
                <w:spacing w:val="0"/>
                <w:sz w:val="24"/>
                <w:szCs w:val="24"/>
                <w:shd w:val="clear" w:fill="FFFFFF"/>
                <w:vertAlign w:val="baseline"/>
                <w:lang w:eastAsia="zh-CN"/>
              </w:rPr>
            </w:pPr>
            <w:r>
              <w:rPr>
                <w:rFonts w:hint="eastAsia" w:ascii="方正黑体_GBK" w:hAnsi="方正黑体_GBK" w:eastAsia="方正黑体_GBK" w:cs="方正黑体_GBK"/>
                <w:i w:val="0"/>
                <w:caps w:val="0"/>
                <w:color w:val="333333"/>
                <w:spacing w:val="0"/>
                <w:sz w:val="24"/>
                <w:szCs w:val="24"/>
                <w:shd w:val="clear" w:fill="FFFFFF"/>
                <w:vertAlign w:val="baseline"/>
                <w:lang w:eastAsia="zh-CN"/>
              </w:rPr>
              <w:t>研究内容</w:t>
            </w:r>
          </w:p>
        </w:tc>
        <w:tc>
          <w:tcPr>
            <w:tcW w:w="7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方正黑体_GBK" w:hAnsi="方正黑体_GBK" w:eastAsia="方正黑体_GBK" w:cs="方正黑体_GBK"/>
                <w:i w:val="0"/>
                <w:caps w:val="0"/>
                <w:color w:val="333333"/>
                <w:spacing w:val="0"/>
                <w:sz w:val="24"/>
                <w:szCs w:val="24"/>
                <w:shd w:val="clear" w:fill="FFFFFF"/>
                <w:vertAlign w:val="baseline"/>
                <w:lang w:eastAsia="zh-CN"/>
              </w:rPr>
            </w:pPr>
            <w:r>
              <w:rPr>
                <w:rFonts w:hint="eastAsia" w:ascii="方正黑体_GBK" w:hAnsi="方正黑体_GBK" w:eastAsia="方正黑体_GBK" w:cs="方正黑体_GBK"/>
                <w:i w:val="0"/>
                <w:caps w:val="0"/>
                <w:color w:val="333333"/>
                <w:spacing w:val="0"/>
                <w:sz w:val="24"/>
                <w:szCs w:val="24"/>
                <w:shd w:val="clear" w:fill="FFFFFF"/>
                <w:vertAlign w:val="baseline"/>
                <w:lang w:eastAsia="zh-CN"/>
              </w:rPr>
              <w:t>课题类别</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方正黑体_GBK" w:hAnsi="方正黑体_GBK" w:eastAsia="方正黑体_GBK" w:cs="方正黑体_GBK"/>
                <w:i w:val="0"/>
                <w:caps w:val="0"/>
                <w:color w:val="333333"/>
                <w:spacing w:val="0"/>
                <w:sz w:val="24"/>
                <w:szCs w:val="24"/>
                <w:shd w:val="clear" w:fill="FFFFFF"/>
                <w:vertAlign w:val="baseline"/>
                <w:lang w:eastAsia="zh-CN"/>
              </w:rPr>
            </w:pPr>
            <w:r>
              <w:rPr>
                <w:rFonts w:hint="eastAsia" w:ascii="方正黑体_GBK" w:hAnsi="方正黑体_GBK" w:eastAsia="方正黑体_GBK" w:cs="方正黑体_GBK"/>
                <w:i w:val="0"/>
                <w:caps w:val="0"/>
                <w:color w:val="333333"/>
                <w:spacing w:val="0"/>
                <w:sz w:val="24"/>
                <w:szCs w:val="24"/>
                <w:shd w:val="clear" w:fill="FFFFFF"/>
                <w:vertAlign w:val="baseline"/>
                <w:lang w:eastAsia="zh-CN"/>
              </w:rPr>
              <w:t>经费标准</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outlineLvl w:val="9"/>
              <w:rPr>
                <w:rFonts w:hint="eastAsia" w:ascii="方正黑体_GBK" w:hAnsi="方正黑体_GBK" w:eastAsia="方正黑体_GBK" w:cs="方正黑体_GBK"/>
                <w:i w:val="0"/>
                <w:caps w:val="0"/>
                <w:color w:val="333333"/>
                <w:spacing w:val="0"/>
                <w:sz w:val="24"/>
                <w:szCs w:val="24"/>
                <w:shd w:val="clear" w:fill="FFFFFF"/>
                <w:vertAlign w:val="baseline"/>
                <w:lang w:eastAsia="zh-CN"/>
              </w:rPr>
            </w:pPr>
            <w:r>
              <w:rPr>
                <w:rFonts w:hint="eastAsia" w:ascii="方正黑体_GBK" w:hAnsi="方正黑体_GBK" w:eastAsia="方正黑体_GBK" w:cs="方正黑体_GBK"/>
                <w:i w:val="0"/>
                <w:caps w:val="0"/>
                <w:color w:val="333333"/>
                <w:spacing w:val="0"/>
                <w:sz w:val="24"/>
                <w:szCs w:val="24"/>
                <w:shd w:val="clear" w:fill="FFFFFF"/>
                <w:vertAlign w:val="baseline"/>
                <w:lang w:eastAsia="zh-CN"/>
              </w:rPr>
              <w:t>时间要求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t>2022年重庆市经济发展重点领域运行中的热点问题研究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分析研究重庆工业经济、农业农村、商贸流通、财政收支、外经外贸、金融运行等重点领域的发展现状。2.梳理重点领域运行中的热点问题，深入分析形成原因、具体影响和表现形式。3.借鉴国内相关省市经验做法，提出工作举措和政策建议。</w:t>
            </w:r>
          </w:p>
        </w:tc>
        <w:tc>
          <w:tcPr>
            <w:tcW w:w="7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rPr>
            </w:pPr>
            <w:r>
              <w:rPr>
                <w:rFonts w:hint="eastAsia" w:ascii="方正仿宋_GBK" w:hAnsi="方正仿宋_GBK" w:eastAsia="方正仿宋_GBK" w:cs="方正仿宋_GBK"/>
                <w:i w:val="0"/>
                <w:caps w:val="0"/>
                <w:color w:val="333333"/>
                <w:spacing w:val="0"/>
                <w:sz w:val="24"/>
                <w:szCs w:val="24"/>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rPr>
            </w:pPr>
            <w:r>
              <w:rPr>
                <w:rFonts w:hint="eastAsia" w:ascii="方正仿宋_GBK" w:hAnsi="方正仿宋_GBK" w:eastAsia="方正仿宋_GBK" w:cs="方正仿宋_GBK"/>
                <w:i w:val="0"/>
                <w:caps w:val="0"/>
                <w:color w:val="333333"/>
                <w:spacing w:val="0"/>
                <w:sz w:val="24"/>
                <w:szCs w:val="24"/>
                <w:shd w:val="clear" w:fill="FFFFFF"/>
                <w:vertAlign w:val="baseline"/>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t>2022年重庆市国民经济主要经济指标监测预测</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pPr>
            <w:r>
              <w:rPr>
                <w:rFonts w:hint="eastAsia" w:ascii="方正仿宋_GBK" w:hAnsi="方正仿宋_GBK" w:eastAsia="方正仿宋_GBK" w:cs="方正仿宋_GBK"/>
                <w:i w:val="0"/>
                <w:color w:val="000000"/>
                <w:kern w:val="0"/>
                <w:sz w:val="24"/>
                <w:szCs w:val="24"/>
                <w:u w:val="none"/>
                <w:lang w:val="en-US" w:eastAsia="zh-CN" w:bidi="ar"/>
              </w:rPr>
              <w:t>1.2022年我市上半年国民经济主要指标运行监测分析。2.2022年我市前三季度国民经济主要指标运行监测分析。3.2022年我市全年国民经济主要指标运行监测分析。</w:t>
            </w:r>
          </w:p>
        </w:tc>
        <w:tc>
          <w:tcPr>
            <w:tcW w:w="7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rPr>
            </w:pPr>
            <w:r>
              <w:rPr>
                <w:rFonts w:hint="eastAsia" w:ascii="方正仿宋_GBK" w:hAnsi="方正仿宋_GBK" w:eastAsia="方正仿宋_GBK" w:cs="方正仿宋_GBK"/>
                <w:i w:val="0"/>
                <w:caps w:val="0"/>
                <w:color w:val="333333"/>
                <w:spacing w:val="0"/>
                <w:sz w:val="24"/>
                <w:szCs w:val="24"/>
                <w:shd w:val="clear" w:fill="FFFFFF"/>
                <w:vertAlign w:val="baseline"/>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t>“一区两群”人口有序转移研究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b/>
                <w:bCs/>
                <w:i w:val="0"/>
                <w:caps w:val="0"/>
                <w:color w:val="333333"/>
                <w:spacing w:val="0"/>
                <w:sz w:val="24"/>
                <w:szCs w:val="24"/>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1.梳理研究“一区两群”基本情况和人口结构特点。2.分析劳动力转移情况。3.提出人口有序转移的政策建议。</w:t>
            </w:r>
          </w:p>
        </w:tc>
        <w:tc>
          <w:tcPr>
            <w:tcW w:w="7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rPr>
            </w:pPr>
            <w:r>
              <w:rPr>
                <w:rFonts w:hint="eastAsia" w:ascii="方正仿宋_GBK" w:hAnsi="方正仿宋_GBK" w:eastAsia="方正仿宋_GBK" w:cs="方正仿宋_GBK"/>
                <w:i w:val="0"/>
                <w:caps w:val="0"/>
                <w:color w:val="333333"/>
                <w:spacing w:val="0"/>
                <w:sz w:val="24"/>
                <w:szCs w:val="24"/>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重庆市财政支出结构和绩效研究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1.分析我市财政支出（含投资支出）结构和绩效评价情况。2.财政支出（含投资支出）和绩效评价存在的问题。3.优化财政支出结构和绩效的意见建议。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工业闲置土地盘活研究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b/>
                <w:bCs/>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1.全面梳理当前我市工业闲置土地现状。2.详细分析盘活工业闲置土地存在的问题及原因。3.研究提出盘活闲置工业用地的政策建议和保障措施。</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Ⅲ类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15万</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重庆打造“首店、首牌、首秀、首发”经济的政策路径研究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1.阐述我国“四首”经济发展现状。2.分析我市发展“四首”经济的优劣势。3.分析我市发展“四首”经济的现状及面临的问题。4.提出政策建议。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扩大文化消费支出研究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研究背景及相关文献综述。2.重庆文化产业和文化消费的现状与短板。3.围绕优质文化产品供给、丰富新领域文化产品供给、推动文化产业重大项目建设等方面，研究提出扩大文化消费支出的路径。4.提出扩大文化消费支出的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Ⅲ类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15万</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重庆市完善新能源汽车产业链对策研究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研究背景、新能源汽车产业链发展现状。2.国家和其他省市完善新能源汽车产业链的政策举措。3.重庆新能源汽车产业链发展现状，具有的优势、短板，面临的机遇和挑战分析。4.完善我市新能源汽车产业链的路径选择。5.提出完善我市新能源汽车产业链的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重庆市农业科研成果推广体制机制改革创新研究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1.针对当前重庆农业科技研发创新成果转化、技术推广等方面体制机制存在的问题，深入分析问题原因。2.提出可转化落地的政策建议。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重庆市农业农村基础设施管护运营机制研究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1.开展农业农村基础设施管护运营现状摸底，查找分析影响管护运营的问题及原因。2.根据市和区县责任事权、受益主体、基础设施经济效益等分类提出建立健全农业农村基础设施管护运营机制的政策建议。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重庆市扶贫产业接续发展研究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1.调查摸底乡村扶贫产业发展情况，分析存在问题和不足。2.按照产业兴旺要求提出乡村扶贫产业发展目标，坚持问题导向、目标导向提出接续推进扶贫产业的政策举措。</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重庆市软件业高质量发展路径研究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1.国家层面及其他省市软件产业政策梳理。2.我市软件产业发展现状及问题。3.促进我市软件产业高质量发展的政策建议。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交通物流支持重庆产业高质量发展研究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1.梳理国家层面及其他省市交通物流支持产业发展的有关政策及相关经验。2.深入分析我市交通物流支持产业发展的现状及存在的问题。3.研究交通物流支持重庆产业发展的路径。4.提出政策建议。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深入推动科技创新支撑引领高质量发展的政策措施实施效果评估</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1.全面评估《中共重庆市委关于</w:t>
            </w:r>
            <w:r>
              <w:rPr>
                <w:rFonts w:hint="eastAsia" w:ascii="方正仿宋_GBK" w:hAnsi="方正仿宋_GBK" w:eastAsia="方正仿宋_GBK" w:cs="方正仿宋_GBK"/>
                <w:i w:val="0"/>
                <w:color w:val="auto"/>
                <w:kern w:val="0"/>
                <w:sz w:val="24"/>
                <w:szCs w:val="24"/>
                <w:highlight w:val="none"/>
                <w:u w:val="none"/>
                <w:lang w:val="en-US" w:eastAsia="zh-CN" w:bidi="ar"/>
              </w:rPr>
              <w:t>深入推动科技创新支撑引领高质量发展</w:t>
            </w:r>
            <w:r>
              <w:rPr>
                <w:rFonts w:hint="eastAsia" w:ascii="方正仿宋_GBK" w:hAnsi="方正仿宋_GBK" w:eastAsia="方正仿宋_GBK" w:cs="方正仿宋_GBK"/>
                <w:i w:val="0"/>
                <w:color w:val="000000"/>
                <w:kern w:val="0"/>
                <w:sz w:val="24"/>
                <w:szCs w:val="24"/>
                <w:u w:val="none"/>
                <w:lang w:val="en-US" w:eastAsia="zh-CN" w:bidi="ar"/>
              </w:rPr>
              <w:t>的决定》贯彻落实情况。2.深入剖析《决定》贯彻落实中存在的问题。3.提出政策建议。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全市区县高质量发展绩效评估</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1.建立健全高质量发展评价指标体系。2.全面评估各区县高质量发展成效。3.深入剖析各区县高质量发展存在的问题。4.提出政策建议。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年度重大决策咨询课题绩效评价</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000000"/>
                <w:kern w:val="0"/>
                <w:sz w:val="24"/>
                <w:szCs w:val="24"/>
                <w:u w:val="none"/>
                <w:lang w:val="en-US" w:eastAsia="zh-CN" w:bidi="ar"/>
              </w:rPr>
              <w:t>1.梳理上一年度全委重大决策咨询课题的完成、使用与管理情况。2.对全委重大咨询课题成果登记、转化、应用及持续产出、效果与影响进行分析。3.提出重大决策类咨询课题工作建议。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rPr>
              <w:t>Ⅲ类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t>15万</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000000"/>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重庆服务和融入新发展格局的堵点难点和举措研究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1.我市服务和融入新发展格局的堵点难点。2.我市服务和融入新发展格局的切入点。3.我市服务和融入新发展格局的战略举措。</w:t>
            </w:r>
          </w:p>
        </w:tc>
        <w:tc>
          <w:tcPr>
            <w:tcW w:w="7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olor w:val="auto"/>
                <w:kern w:val="0"/>
                <w:sz w:val="24"/>
                <w:szCs w:val="24"/>
                <w:u w:val="none"/>
                <w:lang w:val="en-US" w:eastAsia="zh-CN" w:bidi="ar"/>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u w:val="none"/>
                <w:lang w:val="en-US" w:eastAsia="zh-CN" w:bidi="ar"/>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u w:val="none"/>
                <w:lang w:val="en-US" w:eastAsia="zh-CN" w:bidi="ar"/>
              </w:rPr>
            </w:pP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olor w:val="auto"/>
                <w:kern w:val="0"/>
                <w:sz w:val="24"/>
                <w:szCs w:val="24"/>
                <w:u w:val="none"/>
                <w:lang w:val="en-US" w:eastAsia="zh-CN" w:bidi="ar"/>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企业信心指数研究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1.参照国家有关分析研究，建立企业信心指数研究指标体系。2.筛选样本企业，实证分析企业信心指数情况。3.深入研究影响企业信心指数的主要因素。4.提出针对性的意见建议。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auto"/>
                <w:spacing w:val="0"/>
                <w:sz w:val="24"/>
                <w:szCs w:val="24"/>
                <w:highlight w:val="none"/>
                <w:shd w:val="clear" w:fill="FFFFFF"/>
                <w:vertAlign w:val="baseline"/>
              </w:rPr>
              <w:t>Ⅱ类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highlight w:val="none"/>
                <w:shd w:val="clear" w:fill="FFFFFF"/>
                <w:vertAlign w:val="baseline"/>
                <w:lang w:val="en-US" w:eastAsia="zh-CN"/>
              </w:rPr>
              <w:t>20万（含）-50万（不含）</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2023年5月31日前提交结题材料。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r>
              <w:rPr>
                <w:rFonts w:hint="eastAsia" w:ascii="方正仿宋_GBK" w:hAnsi="方正仿宋_GBK" w:eastAsia="方正仿宋_GBK" w:cs="方正仿宋_GBK"/>
                <w:i w:val="0"/>
                <w:color w:val="auto"/>
                <w:kern w:val="0"/>
                <w:sz w:val="24"/>
                <w:szCs w:val="24"/>
                <w:highlight w:val="none"/>
                <w:u w:val="none"/>
                <w:lang w:val="en-US" w:eastAsia="zh-CN" w:bidi="ar"/>
              </w:rPr>
              <w:t>居民消费支出结构研究</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1.梳理居民消费现状。2.分析居民消费支出结构。3.研究居民消费支出结构的影响因素。4.提出政策建议。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333333"/>
                <w:spacing w:val="0"/>
                <w:sz w:val="24"/>
                <w:szCs w:val="24"/>
                <w:highlight w:val="none"/>
                <w:shd w:val="clear" w:fill="FFFFFF"/>
                <w:vertAlign w:val="baseline"/>
              </w:rPr>
            </w:pPr>
            <w:r>
              <w:rPr>
                <w:rFonts w:hint="eastAsia" w:ascii="方正仿宋_GBK" w:hAnsi="方正仿宋_GBK" w:eastAsia="方正仿宋_GBK" w:cs="方正仿宋_GBK"/>
                <w:i w:val="0"/>
                <w:caps w:val="0"/>
                <w:color w:val="auto"/>
                <w:spacing w:val="0"/>
                <w:sz w:val="24"/>
                <w:szCs w:val="24"/>
                <w:highlight w:val="none"/>
                <w:shd w:val="clear" w:fill="FFFFFF"/>
                <w:vertAlign w:val="baseline"/>
              </w:rPr>
              <w:t>Ⅲ类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333333"/>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highlight w:val="none"/>
                <w:shd w:val="clear" w:fill="FFFFFF"/>
                <w:vertAlign w:val="baseline"/>
                <w:lang w:val="en-US" w:eastAsia="zh-CN"/>
              </w:rPr>
              <w:t>15万</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000000"/>
                <w:kern w:val="0"/>
                <w:sz w:val="24"/>
                <w:szCs w:val="24"/>
                <w:u w:val="none"/>
                <w:lang w:val="en-US" w:eastAsia="zh-CN" w:bidi="ar"/>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2023年1月31日前提交结题材料。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0" w:hRule="atLeast"/>
        </w:trPr>
        <w:tc>
          <w:tcPr>
            <w:tcW w:w="2014"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highlight w:val="none"/>
                <w:u w:val="none"/>
                <w:lang w:val="en-US" w:eastAsia="zh-CN" w:bidi="ar"/>
              </w:rPr>
            </w:pPr>
            <w:bookmarkStart w:id="0" w:name="_GoBack" w:colFirst="0" w:colLast="4"/>
            <w:r>
              <w:rPr>
                <w:rFonts w:hint="eastAsia" w:ascii="方正仿宋_GBK" w:hAnsi="方正仿宋_GBK" w:eastAsia="方正仿宋_GBK" w:cs="方正仿宋_GBK"/>
                <w:i w:val="0"/>
                <w:color w:val="auto"/>
                <w:kern w:val="0"/>
                <w:sz w:val="24"/>
                <w:szCs w:val="24"/>
                <w:highlight w:val="none"/>
                <w:u w:val="none"/>
                <w:lang w:val="en-US" w:eastAsia="zh-CN" w:bidi="ar"/>
              </w:rPr>
              <w:t>工业技改项目政策后评估</w:t>
            </w:r>
          </w:p>
        </w:tc>
        <w:tc>
          <w:tcPr>
            <w:tcW w:w="5675"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olor w:val="auto"/>
                <w:kern w:val="0"/>
                <w:sz w:val="24"/>
                <w:szCs w:val="24"/>
                <w:u w:val="none"/>
                <w:lang w:val="en-US" w:eastAsia="zh-CN" w:bidi="ar"/>
              </w:rPr>
            </w:pPr>
            <w:r>
              <w:rPr>
                <w:rFonts w:hint="eastAsia" w:ascii="方正仿宋_GBK" w:hAnsi="方正仿宋_GBK" w:eastAsia="方正仿宋_GBK" w:cs="方正仿宋_GBK"/>
                <w:i w:val="0"/>
                <w:color w:val="auto"/>
                <w:kern w:val="0"/>
                <w:sz w:val="24"/>
                <w:szCs w:val="24"/>
                <w:u w:val="none"/>
                <w:lang w:val="en-US" w:eastAsia="zh-CN" w:bidi="ar"/>
              </w:rPr>
              <w:t>1.全面评估工业技改项目政策实施情况。2.深入剖析政策实施过程中存在的问题和不足。3.针对性提出政策建议。</w:t>
            </w:r>
          </w:p>
        </w:tc>
        <w:tc>
          <w:tcPr>
            <w:tcW w:w="775" w:type="dxa"/>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firstLine="0" w:firstLineChars="0"/>
              <w:jc w:val="both"/>
              <w:textAlignment w:val="auto"/>
              <w:rPr>
                <w:rFonts w:hint="eastAsia" w:ascii="方正仿宋_GBK" w:hAnsi="方正仿宋_GBK" w:eastAsia="方正仿宋_GBK" w:cs="方正仿宋_GBK"/>
                <w:i w:val="0"/>
                <w:caps w:val="0"/>
                <w:color w:val="auto"/>
                <w:spacing w:val="0"/>
                <w:sz w:val="24"/>
                <w:szCs w:val="24"/>
                <w:highlight w:val="none"/>
                <w:shd w:val="clear" w:fill="FFFFFF"/>
                <w:vertAlign w:val="baseline"/>
              </w:rPr>
            </w:pPr>
            <w:r>
              <w:rPr>
                <w:rFonts w:hint="eastAsia" w:ascii="方正仿宋_GBK" w:hAnsi="方正仿宋_GBK" w:eastAsia="方正仿宋_GBK" w:cs="方正仿宋_GBK"/>
                <w:i w:val="0"/>
                <w:caps w:val="0"/>
                <w:color w:val="auto"/>
                <w:spacing w:val="0"/>
                <w:sz w:val="24"/>
                <w:szCs w:val="24"/>
                <w:highlight w:val="none"/>
                <w:shd w:val="clear" w:fill="FFFFFF"/>
                <w:vertAlign w:val="baseline"/>
              </w:rPr>
              <w:t>Ⅲ类</w:t>
            </w:r>
          </w:p>
        </w:tc>
        <w:tc>
          <w:tcPr>
            <w:tcW w:w="133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highlight w:val="none"/>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highlight w:val="none"/>
                <w:shd w:val="clear" w:fill="FFFFFF"/>
                <w:vertAlign w:val="baseline"/>
                <w:lang w:val="en-US" w:eastAsia="zh-CN"/>
              </w:rPr>
              <w:t>15万</w:t>
            </w:r>
          </w:p>
        </w:tc>
        <w:tc>
          <w:tcPr>
            <w:tcW w:w="372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2022年6月30日前提交开题报告；</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2022年8月31日前提交中期研究成果；</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auto"/>
              <w:outlineLvl w:val="9"/>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pPr>
            <w:r>
              <w:rPr>
                <w:rFonts w:hint="eastAsia" w:ascii="方正仿宋_GBK" w:hAnsi="方正仿宋_GBK" w:eastAsia="方正仿宋_GBK" w:cs="方正仿宋_GBK"/>
                <w:i w:val="0"/>
                <w:caps w:val="0"/>
                <w:color w:val="auto"/>
                <w:spacing w:val="0"/>
                <w:sz w:val="24"/>
                <w:szCs w:val="24"/>
                <w:shd w:val="clear" w:fill="FFFFFF"/>
                <w:vertAlign w:val="baseline"/>
                <w:lang w:val="en-US" w:eastAsia="zh-CN"/>
              </w:rPr>
              <w:t>2023年1月31日前提交结题材料。</w:t>
            </w:r>
          </w:p>
        </w:tc>
      </w:tr>
      <w:bookmarkEnd w:id="0"/>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9"/>
        <w:rPr>
          <w:rFonts w:hint="eastAsia" w:ascii="方正楷体_GBK" w:hAnsi="方正楷体_GBK" w:eastAsia="方正楷体_GBK" w:cs="方正楷体_GBK"/>
          <w:kern w:val="2"/>
          <w:sz w:val="32"/>
          <w:szCs w:val="32"/>
          <w:lang w:val="en-US" w:eastAsia="zh-CN" w:bidi="ar-SA"/>
        </w:rPr>
      </w:pPr>
    </w:p>
    <w:sectPr>
      <w:footerReference r:id="rId3" w:type="default"/>
      <w:type w:val="continuous"/>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方正仿宋简体">
    <w:altName w:val="微软雅黑"/>
    <w:panose1 w:val="00000000000000000000"/>
    <w:charset w:val="86"/>
    <w:family w:val="script"/>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no valu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姚体">
    <w:altName w:val="宋体"/>
    <w:panose1 w:val="02010601030101010101"/>
    <w:charset w:val="86"/>
    <w:family w:val="auto"/>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fldChar w:fldCharType="begin"/>
                          </w:r>
                          <w:r>
                            <w:rPr>
                              <w:rFonts w:hint="eastAsia" w:ascii="方正仿宋_GBK" w:hAnsi="方正仿宋_GBK" w:eastAsia="方正仿宋_GBK" w:cs="方正仿宋_GBK"/>
                              <w:sz w:val="32"/>
                              <w:szCs w:val="32"/>
                              <w:lang w:eastAsia="zh-CN"/>
                            </w:rPr>
                            <w:instrText xml:space="preserve"> PAGE  \* MERGEFORMAT </w:instrText>
                          </w:r>
                          <w:r>
                            <w:rPr>
                              <w:rFonts w:hint="eastAsia" w:ascii="方正仿宋_GBK" w:hAnsi="方正仿宋_GBK" w:eastAsia="方正仿宋_GBK" w:cs="方正仿宋_GBK"/>
                              <w:sz w:val="32"/>
                              <w:szCs w:val="32"/>
                              <w:lang w:eastAsia="zh-CN"/>
                            </w:rPr>
                            <w:fldChar w:fldCharType="separate"/>
                          </w:r>
                          <w:r>
                            <w:rPr>
                              <w:rFonts w:hint="eastAsia" w:ascii="方正仿宋_GBK" w:hAnsi="方正仿宋_GBK" w:eastAsia="方正仿宋_GBK" w:cs="方正仿宋_GBK"/>
                              <w:sz w:val="32"/>
                              <w:szCs w:val="32"/>
                              <w:lang w:eastAsia="zh-CN"/>
                            </w:rPr>
                            <w:t>1</w:t>
                          </w:r>
                          <w:r>
                            <w:rPr>
                              <w:rFonts w:hint="eastAsia" w:ascii="方正仿宋_GBK" w:hAnsi="方正仿宋_GBK" w:eastAsia="方正仿宋_GBK" w:cs="方正仿宋_GBK"/>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fldChar w:fldCharType="begin"/>
                    </w:r>
                    <w:r>
                      <w:rPr>
                        <w:rFonts w:hint="eastAsia" w:ascii="方正仿宋_GBK" w:hAnsi="方正仿宋_GBK" w:eastAsia="方正仿宋_GBK" w:cs="方正仿宋_GBK"/>
                        <w:sz w:val="32"/>
                        <w:szCs w:val="32"/>
                        <w:lang w:eastAsia="zh-CN"/>
                      </w:rPr>
                      <w:instrText xml:space="preserve"> PAGE  \* MERGEFORMAT </w:instrText>
                    </w:r>
                    <w:r>
                      <w:rPr>
                        <w:rFonts w:hint="eastAsia" w:ascii="方正仿宋_GBK" w:hAnsi="方正仿宋_GBK" w:eastAsia="方正仿宋_GBK" w:cs="方正仿宋_GBK"/>
                        <w:sz w:val="32"/>
                        <w:szCs w:val="32"/>
                        <w:lang w:eastAsia="zh-CN"/>
                      </w:rPr>
                      <w:fldChar w:fldCharType="separate"/>
                    </w:r>
                    <w:r>
                      <w:rPr>
                        <w:rFonts w:hint="eastAsia" w:ascii="方正仿宋_GBK" w:hAnsi="方正仿宋_GBK" w:eastAsia="方正仿宋_GBK" w:cs="方正仿宋_GBK"/>
                        <w:sz w:val="32"/>
                        <w:szCs w:val="32"/>
                        <w:lang w:eastAsia="zh-CN"/>
                      </w:rPr>
                      <w:t>1</w:t>
                    </w:r>
                    <w:r>
                      <w:rPr>
                        <w:rFonts w:hint="eastAsia" w:ascii="方正仿宋_GBK" w:hAnsi="方正仿宋_GBK" w:eastAsia="方正仿宋_GBK" w:cs="方正仿宋_GBK"/>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AD1CAF"/>
    <w:rsid w:val="0A482BAC"/>
    <w:rsid w:val="0D683E96"/>
    <w:rsid w:val="151A731D"/>
    <w:rsid w:val="191603B8"/>
    <w:rsid w:val="1CFC4179"/>
    <w:rsid w:val="1FAC3F59"/>
    <w:rsid w:val="2B8A32F7"/>
    <w:rsid w:val="2E327927"/>
    <w:rsid w:val="317C1CDC"/>
    <w:rsid w:val="32503C05"/>
    <w:rsid w:val="40AD1CAF"/>
    <w:rsid w:val="480C2C8A"/>
    <w:rsid w:val="48EC1066"/>
    <w:rsid w:val="4909747E"/>
    <w:rsid w:val="494862D3"/>
    <w:rsid w:val="50A42CB7"/>
    <w:rsid w:val="66FE3FD5"/>
    <w:rsid w:val="71E26920"/>
    <w:rsid w:val="72F14B57"/>
    <w:rsid w:val="74BC104A"/>
    <w:rsid w:val="7CFE2F74"/>
    <w:rsid w:val="7DBB2D58"/>
    <w:rsid w:val="7FC47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2021-07-06T00:39:00Z</dcterms:created>
  <dc:creator>杨馨宁</dc:creator>
  <cp:lastModifiedBy>高波</cp:lastModifiedBy>
  <cp:lastPrinted>2022-05-20T01:23:00Z</cp:lastPrinted>
  <dcterms:modified xsi:type="dcterms:W3CDTF">2022-06-06T11:31:34Z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