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重庆市发展和改革委员会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比选《2021年重庆市经济运行风险点排查及对策研究》等重大决策咨询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课题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承担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单位的公告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为充分发挥社会各界研究力量对重庆重大决策的支撑作用，我委拟通过竞争性比选方式面向社会公开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比选一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批重大决策咨询课题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单位。请有意向且具备相应研究能力的单位积极报名并提交相关材料，我委将组织有关单位、行业专家进行比选。现将有关事项公告如下：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研究方向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（一）2021年重庆市经济运行风险点排查及对策研究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rightChars="0" w:firstLine="320" w:firstLineChars="1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（二）2021年重庆市经济发展重点领域运行中的热点问题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rightChars="0" w:firstLine="1280" w:firstLineChars="4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（三）2021年重庆市国民经济主要经济指标监测预测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（四）年度重大决策咨询课题绩效评价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（五）“十四五”建设重庆世界知名旅游目的地路径研究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（六）以TOD模式推进重庆轨道与城市高质量发展研究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研究内容和要求详见附件1。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参与要求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（一）法人资格：在中华人民共和国境内注册、具有独立法人资格和独立签订合同的权利。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（二）业绩要求：具有相关课题或方案研究业绩，能够提供开展研究的必要条件，保证课题研究成果按期实现。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（三）人员保障：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负责人应拥有丰富工作经验，能亲自组织、指导和参与课题项目，开展实质性研究工作。课题负责人须是副高级及以上或同等职务职称的研究人员。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履约信誉：具有良好的商业信誉，近三年内合同履行方面无不良记录。经查“信用中国”网站、“信用重庆”网站，凡列入失信联合惩戒对象名单（黑名单）和重点关注对象名单的单位、课题组长、团队成员不得参与本次课题研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（五）质量保证和控制：能根据标准采取有效的质量保证和质量控制措施。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鼓励</w:t>
      </w:r>
      <w:r>
        <w:rPr>
          <w:rFonts w:hint="eastAsia" w:ascii="方正仿宋_GBK" w:hAnsi="仿宋" w:eastAsia="方正仿宋_GBK"/>
          <w:sz w:val="32"/>
          <w:szCs w:val="32"/>
        </w:rPr>
        <w:t>国家级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和市级</w:t>
      </w:r>
      <w:r>
        <w:rPr>
          <w:rFonts w:hint="eastAsia" w:ascii="方正仿宋_GBK" w:hAnsi="仿宋" w:eastAsia="方正仿宋_GBK"/>
          <w:sz w:val="32"/>
          <w:szCs w:val="32"/>
        </w:rPr>
        <w:t>知名智库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、高校院所、科研机构</w:t>
      </w:r>
      <w:r>
        <w:rPr>
          <w:rFonts w:hint="eastAsia" w:ascii="方正仿宋_GBK" w:hAnsi="仿宋" w:eastAsia="方正仿宋_GBK"/>
          <w:sz w:val="32"/>
          <w:szCs w:val="32"/>
        </w:rPr>
        <w:t>参与比选，鼓励“政产学研用”相关单位联合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申报</w:t>
      </w:r>
      <w:r>
        <w:rPr>
          <w:rFonts w:hint="eastAsia" w:ascii="方正仿宋_GBK" w:hAnsi="仿宋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申报材料及时间要求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一）申报方式：申报单位应填写《重庆市重大决策咨询研究课题申报书》，准备纸质版一式五份（需在首页及尾页加盖单位鲜章，联合申报课题由牵头单位加盖公章，其他单位课题组成员签字），电子版一份（刻录至光盘），以上资料密封递交至重庆市发展改革委国民经济综合处</w:t>
      </w:r>
      <w:r>
        <w:rPr>
          <w:rFonts w:hint="eastAsia" w:ascii="方正仿宋_GBK" w:hAnsi="no value" w:eastAsia="方正仿宋_GBK" w:cs="宋体"/>
          <w:color w:val="000000"/>
          <w:kern w:val="0"/>
          <w:sz w:val="32"/>
          <w:szCs w:val="32"/>
          <w:lang w:val="en-US" w:eastAsia="zh-CN" w:bidi="ar"/>
        </w:rPr>
        <w:t>。同时，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申报单位应按附件4操作流程注册我委课题管理系统账号，并开展线上申报。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如遇系统问题规定时间内难以完成线上申报，请先行完成线下申报。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no value" w:eastAsia="方正仿宋_GBK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（二）截止日期：</w:t>
      </w:r>
      <w:r>
        <w:rPr>
          <w:rFonts w:hint="eastAsia" w:ascii="方正仿宋_GBK" w:hAnsi="no value" w:eastAsia="方正仿宋_GBK" w:cs="宋体"/>
          <w:color w:val="000000"/>
          <w:kern w:val="0"/>
          <w:sz w:val="32"/>
          <w:szCs w:val="32"/>
          <w:lang w:val="en-US" w:eastAsia="zh-CN" w:bidi="ar"/>
        </w:rPr>
        <w:t>2021年7月16日。逾期送达或者未送达指点地点的不予受理。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highlight w:val="yellow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（三）其他事项：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以前年度承担我委课题截至申报日超期未结题的，其课题负责人申报本批课题的，将在专家评审最终得分基础上减10分。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洪飞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，联系方式：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67575055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地 址：重庆市渝北区洪湖西路16号建发大厦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邮 编：401121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1.课题研究内容及要求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重庆市重大决策咨询研究课题申报书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竞争性比选评分标准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4.申报单位线上申报操作流程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重庆市发展和改革委员会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2021年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课题研究内容及要求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7"/>
        <w:tblW w:w="13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5675"/>
        <w:gridCol w:w="775"/>
        <w:gridCol w:w="160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课题名称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研究内容</w:t>
            </w:r>
          </w:p>
        </w:tc>
        <w:tc>
          <w:tcPr>
            <w:tcW w:w="7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课题类别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经费标准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时间要求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2021年重庆市经济运行风险点排查及对策研究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1.重庆市经济运行框架构建，包括：生产方面、投资方面、消费方面、进出口方面、价格方面、财政收支方面、债务方面、重要资源平衡方面、劳动就业方面；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2.2021年重庆市经济运行风险点判断；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3.风险影响程度及趋势分析，包括风险点影响程度分析和风险点未来走势分析；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4.相关对策建议。</w:t>
            </w:r>
          </w:p>
        </w:tc>
        <w:tc>
          <w:tcPr>
            <w:tcW w:w="7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Ⅱ类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20万（含）—50万（不含）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2021年重庆市经济发展重点领域运行中的热点问题研究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1.分析研究重庆工业经济、农业农村、商贸流通、财政收支、外经外贸、金融运行等重点领域的发展现状；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2.梳理重点领域运行中的热点问题，深入分析形成原因、具体影响和表现形式；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3.借鉴国内相关省市经验做法，提出工作举措和政策建议。</w:t>
            </w:r>
          </w:p>
        </w:tc>
        <w:tc>
          <w:tcPr>
            <w:tcW w:w="7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Ⅱ类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20万（含）—50万（不含）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2021年重庆市国民经济主要经济指标监测预测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1.2021年我市上半年国民经济主要指标运行监测分析；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2.2021年我市前三季度国民经济主要指标运行监测分析；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3.2021年我市全年国民经济主要指标运行监测分析；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4.对2022年我市国民经济主要指标进行预测分析。</w:t>
            </w:r>
          </w:p>
        </w:tc>
        <w:tc>
          <w:tcPr>
            <w:tcW w:w="7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Ⅱ类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20万（含）—50万（不含）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年度重大决策咨询课题绩效评价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1.梳理上一年度全委重大决策咨询课题的完成情况，使用与管理情况；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2.对全委重大咨询课题成果登记、转化、应用，持续产出、效果与影响进行分析；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3.提出重大决策类咨询课题工作建议。</w:t>
            </w:r>
          </w:p>
        </w:tc>
        <w:tc>
          <w:tcPr>
            <w:tcW w:w="7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Ⅲ类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15万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“十四五”建设重庆世界知名旅游目的地路径研究 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打造世界知名旅游目的地的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现状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2.重庆建设世界知名旅游目的地的目标架构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3.建设重庆世界知名旅游目的地基本路径及重点任务；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4.统筹扎实推动重庆世界知名旅游目的地建设的工作举措。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20万（含）—50万（不含）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以TOD模式推进重庆轨道与城市高质量发展研究 </w:t>
            </w:r>
          </w:p>
        </w:tc>
        <w:tc>
          <w:tcPr>
            <w:tcW w:w="5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1.TOD模式的概念，研究的意义、目标、内容和方法；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2.TOD国内外研究现状；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3.国际国内轨道TOD开发的成功经验；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4.重庆TOD模式的构建；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5.重庆实施TOD模式的难点及解决方案。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Ⅱ类</w:t>
            </w:r>
          </w:p>
        </w:tc>
        <w:tc>
          <w:tcPr>
            <w:tcW w:w="1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20万（含）—50万（不含）</w:t>
            </w:r>
          </w:p>
        </w:tc>
        <w:tc>
          <w:tcPr>
            <w:tcW w:w="3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2021年8月31日前提交开题报告；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2021年10月31日前提交中期研究成果；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2022年3月31日前提交结题材料。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type w:val="continuous"/>
          <w:pgSz w:w="16838" w:h="11906" w:orient="landscape"/>
          <w:pgMar w:top="1446" w:right="1984" w:bottom="1446" w:left="164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编号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4"/>
          <w:szCs w:val="24"/>
        </w:rPr>
      </w:pP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  <w:t>重庆市重大决策咨询研究课题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Cs w:val="24"/>
        </w:rPr>
      </w:pP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申　报　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9WTNUAAAAJAQAADwAAAAAA&#10;AAABACAAAAAiAAAAZHJzL2Rvd25yZXYueG1sUEsBAhQAFAAAAAgAh07iQMxketf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课　题　名　称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3360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31ZM1QAAAAkBAAAPAAAAAAAA&#10;AAEAIAAAACIAAABkcnMvZG93bnJldi54bWxQSwECFAAUAAAACACHTuJAUQQ+F9wBAACY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    请    人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438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9WTNUAAAAJAQAADwAAAAAA&#10;AAABACAAAAAiAAAAZHJzL2Rvd25yZXYueG1sUEsBAhQAFAAAAAgAh07iQLejg4z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申请人所在单位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540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31ZM1QAAAAkBAAAPAAAAAAAA&#10;AAEAIAAAACIAAABkcnMvZG93bnJldi54bWxQSwECFAAUAAAACACHTuJAl/Ef1NwBAACY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填　表　日　期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重庆市发展和改革委员会学术委员会制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填　表　说　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一、封面编号申请人不填写。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二、“申请人”应为开展课题研究后对课题研究与管理的实际负责人，只能填写一人。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三、填写内容应简明扼要，突出重点和关键。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四、研究时限一般为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６个月以内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五、在研究阶段中必须包含一次以上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开题论证、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中期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评估等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阶段性成果。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六、《申报书》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要求用A4纸张印制，双面打印，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一式5份（须含原件一份），与电子文档一同交重庆市发展和改革委员会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国民经济综合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洪飞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，（023）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67575055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mail：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1399171310@qq.com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地址：重庆市渝北区洪湖西路16号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建发大厦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710室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七、凡递交的申请材料概不退还。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宋体"/>
          <w:color w:val="auto"/>
          <w:kern w:val="0"/>
          <w:sz w:val="2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一、申请人基本情况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专业技术职务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二、课题组成员基本情况</w:t>
      </w:r>
    </w:p>
    <w:tbl>
      <w:tblPr>
        <w:tblStyle w:val="6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三、课题组与本课题有关的近</w:t>
      </w:r>
      <w:r>
        <w:rPr>
          <w:rFonts w:hint="eastAsia" w:ascii="方正黑体_GBK" w:hAnsi="方正黑体_GBK" w:eastAsia="方正黑体_GBK" w:cs="方正黑体_GBK"/>
          <w:color w:val="auto"/>
          <w:sz w:val="28"/>
          <w:lang w:eastAsia="zh-CN"/>
        </w:rPr>
        <w:t>５年</w:t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研究成果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主持人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四、团队优势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课题负责人及其团队在该领域的优势。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428" w:firstLineChars="23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（纸面不敷，可另加页）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Times New Roman" w:hAnsi="Times New Roman" w:eastAsia="黑体"/>
          <w:color w:val="auto"/>
          <w:sz w:val="28"/>
        </w:rPr>
        <w:sectPr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79" w:charSpace="-849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五、研究设计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1、课题研究的基本内容和重点难点；2、课题研究的基本思路和方法；3、课题研究的前期基础和资料准备；4、课题研究报价及主要费用组成。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  <w:t>报价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备注：Ⅲ类课题不填，Ⅱ类课题报价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lang w:val="en-US" w:eastAsia="zh-CN"/>
              </w:rPr>
              <w:t>20万元-50万元（不含50万元）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。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六、研究进度与成果形式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0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0"/>
        </w:rPr>
        <w:t>申请者承诺</w:t>
      </w:r>
    </w:p>
    <w:tbl>
      <w:tblPr>
        <w:tblStyle w:val="6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我保证上述填报内容的真实性。如果获得资助，我与本项目组成员将严格遵守《重庆市科研项目管理办法（试行）》、《重庆市发展和改革委员会研究课题管理办法》的有关规定，切实保证研究工作时间，按计划认真开展研究工作，按时报送有关材料，按要求做好结题工作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课题负责人（签字）：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kern w:val="0"/>
          <w:sz w:val="20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</w:rPr>
        <w:t>八、课题负责人所在单位意见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1、申请者的政治素质与业务水平是否适合承担本课题的研究；2、本单位是否能提供完成本课题所需时间和其他必要条件；3、本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单位是否同意承担本项目的管理任务和信誉保证。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单位公章           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年     月    日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竞争性比选评分</w:t>
      </w: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6"/>
        <w:tblW w:w="91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7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       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一、质量比选标准（60分）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1.研究背景（10分）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能够对课题研究的重要性及必要性进行详细阐述，逻辑清晰，条理清楚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2.研究思路（40分）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2.1对课题研究背景理解透彻，对本课题的研究内容了解充分、认识到位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2.2根据课题需求提出具体、明确的研究方向、目标和措施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2.3能根据课题研究标准采取有效的质量保证和质量控制措施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3.进度安排（5分）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研究工作进度安排合理可行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4.申报资料质量（5分）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申报资料完整、齐备，装订美观整洁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二、资质比选标准（30分）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1.业绩（15分）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具有相关课题或方案研究业绩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2.研究团队（15分）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项目负责人是否在相关课题研究领域具备丰富的研究和实践经验；团队成员是否具有高级职称人员，是否具有经济学、管理学、社会学、法学等领域的高层次、高学历人才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三、价格标准（10分）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采用低价优先法计算，即满足申报要求的最低价格为基准价格，其价格为满分，其他申报单位价格得分计算方式如下：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价格得分=（基准价/报价）*10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申报单位线上申报操作流程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一、账号注册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（一）机构注册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输入地址（http://113.207.113.57:59807/#/user/login），点击“注册账户”按钮，选择“机构账号”。如下图：</w:t>
      </w:r>
    </w:p>
    <w:p>
      <w:pPr>
        <w:pStyle w:val="8"/>
        <w:ind w:left="2" w:firstLine="317" w:firstLineChars="151"/>
        <w:jc w:val="left"/>
        <w:rPr>
          <w:rFonts w:asciiTheme="minorEastAsia" w:hAnsiTheme="minorEastAsia"/>
        </w:rPr>
      </w:pPr>
      <w:r>
        <w:drawing>
          <wp:inline distT="0" distB="0" distL="0" distR="0">
            <wp:extent cx="5274310" cy="23196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2" w:firstLine="317" w:firstLineChars="151"/>
        <w:jc w:val="left"/>
        <w:rPr>
          <w:rFonts w:asciiTheme="minorEastAsia" w:hAnsiTheme="minorEastAsia"/>
        </w:rPr>
      </w:pPr>
      <w:r>
        <w:drawing>
          <wp:inline distT="0" distB="0" distL="0" distR="0">
            <wp:extent cx="5274310" cy="2309495"/>
            <wp:effectExtent l="0" t="0" r="254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2" w:firstLine="483" w:firstLineChars="151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登录刚刚注册的账号，维护基本资料。填写完信息后点击“提交”如下图：</w:t>
      </w:r>
    </w:p>
    <w:p>
      <w:r>
        <w:drawing>
          <wp:inline distT="0" distB="0" distL="0" distR="0">
            <wp:extent cx="5274310" cy="23590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8"/>
        <w:ind w:left="2" w:firstLine="483" w:firstLineChars="151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（二）个人用户注册</w:t>
      </w:r>
    </w:p>
    <w:p>
      <w:pPr>
        <w:pStyle w:val="8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输入地址（http://113.207.113.57:59807/#/user/login），点击“注册账户”按钮，选择“个人账号”。如下图：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drawing>
          <wp:inline distT="0" distB="0" distL="0" distR="0">
            <wp:extent cx="5274310" cy="2364740"/>
            <wp:effectExtent l="0" t="0" r="254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2" w:firstLine="483" w:firstLineChars="151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登录刚刚注册的账号，维护基本资料。填写完信息后点击“提交”如下图：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drawing>
          <wp:inline distT="0" distB="0" distL="0" distR="0">
            <wp:extent cx="5274310" cy="23793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ind w:firstLine="640" w:firstLineChars="200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（三）机构审核个人用户</w:t>
      </w:r>
    </w:p>
    <w:p>
      <w:pPr>
        <w:pStyle w:val="8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在“用户管理”菜单下的“待审核个人用户”子菜单页面点击“处理”可对个人用户进行审核。如下图：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drawing>
          <wp:inline distT="0" distB="0" distL="0" distR="0">
            <wp:extent cx="5274310" cy="2332990"/>
            <wp:effectExtent l="0" t="0" r="254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ind w:firstLine="640" w:firstLineChars="200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二、课题申报</w:t>
      </w:r>
    </w:p>
    <w:p>
      <w:pPr>
        <w:pStyle w:val="8"/>
        <w:ind w:left="2" w:firstLine="483" w:firstLineChars="15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在系统首页申报课题模块点击“立即申报”或者在“课题申报”菜单下的“我的课题”子菜单页面点击“立即申报”。如下图：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74310" cy="2306320"/>
            <wp:effectExtent l="0" t="0" r="2540" b="177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74310" cy="2313305"/>
            <wp:effectExtent l="0" t="0" r="2540" b="107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2" w:firstLine="483" w:firstLineChars="151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填写完必要信息点击“点击”提交即可申报成功。如下图：</w:t>
      </w:r>
    </w:p>
    <w:p>
      <w:r>
        <w:drawing>
          <wp:inline distT="0" distB="0" distL="0" distR="0">
            <wp:extent cx="5274310" cy="2366645"/>
            <wp:effectExtent l="0" t="0" r="2540" b="146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（线上申报问题请咨询：张川，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67511205；18523205806）</w:t>
      </w:r>
    </w:p>
    <w:p/>
    <w:p/>
    <w:p/>
    <w:p>
      <w:p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p/>
    <w:p/>
    <w:p/>
    <w:p/>
    <w:p/>
    <w:p/>
    <w:sectPr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 val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820F4"/>
    <w:multiLevelType w:val="multilevel"/>
    <w:tmpl w:val="9E1820F4"/>
    <w:lvl w:ilvl="0" w:tentative="0">
      <w:start w:val="5"/>
      <w:numFmt w:val="upperLetter"/>
      <w:suff w:val="nothing"/>
      <w:lvlText w:val="%1-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0DEE50A"/>
    <w:multiLevelType w:val="singleLevel"/>
    <w:tmpl w:val="60DEE50A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0E4370C"/>
    <w:multiLevelType w:val="singleLevel"/>
    <w:tmpl w:val="60E4370C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0E43DBD"/>
    <w:multiLevelType w:val="singleLevel"/>
    <w:tmpl w:val="60E43DB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D1CAF"/>
    <w:rsid w:val="40AD1CAF"/>
    <w:rsid w:val="66FE3FD5"/>
    <w:rsid w:val="7FC4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2021-07-06T00:39:00Z</dcterms:created>
  <dc:creator>杨馨宁</dc:creator>
  <cp:lastModifiedBy>杨馨宁</cp:lastModifiedBy>
  <cp:lastPrinted>2021-07-06T11:11:00Z</cp:lastPrinted>
  <dcterms:modified xsi:type="dcterms:W3CDTF">2021-07-06T11:29:55Z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