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right="40"/>
        <w:rPr>
          <w:rFonts w:ascii="方正黑体_GBK" w:hAnsi="仿宋" w:eastAsia="方正黑体_GBK" w:cs="仿宋_GB2312"/>
        </w:rPr>
      </w:pPr>
      <w:r>
        <w:rPr>
          <w:rFonts w:hint="eastAsia" w:ascii="方正黑体_GBK" w:hAnsi="仿宋" w:eastAsia="方正黑体_GBK" w:cs="仿宋_GB2312"/>
        </w:rPr>
        <w:t>附件3</w:t>
      </w:r>
    </w:p>
    <w:p>
      <w:pPr>
        <w:autoSpaceDE w:val="0"/>
        <w:autoSpaceDN w:val="0"/>
        <w:spacing w:line="0" w:lineRule="atLeast"/>
        <w:ind w:right="40"/>
        <w:jc w:val="center"/>
        <w:rPr>
          <w:rFonts w:ascii="方正小标宋_GBK" w:eastAsia="方正小标宋_GBK"/>
          <w:sz w:val="44"/>
          <w:szCs w:val="44"/>
        </w:rPr>
      </w:pPr>
      <w:bookmarkStart w:id="0" w:name="_GoBack"/>
      <w:r>
        <w:rPr>
          <w:rFonts w:hint="eastAsia" w:ascii="方正小标宋_GBK" w:eastAsia="方正小标宋_GBK"/>
          <w:sz w:val="44"/>
          <w:szCs w:val="44"/>
        </w:rPr>
        <w:t>重庆电网输配电价表</w:t>
      </w:r>
    </w:p>
    <w:bookmarkEnd w:id="0"/>
    <w:p>
      <w:pPr>
        <w:autoSpaceDE w:val="0"/>
        <w:autoSpaceDN w:val="0"/>
        <w:spacing w:line="0" w:lineRule="atLeast"/>
        <w:ind w:right="40"/>
        <w:jc w:val="right"/>
        <w:rPr>
          <w:rFonts w:hint="eastAsia" w:ascii="华文仿宋" w:hAnsi="华文仿宋" w:eastAsia="华文仿宋"/>
          <w:sz w:val="28"/>
          <w:szCs w:val="28"/>
        </w:rPr>
      </w:pPr>
    </w:p>
    <w:p>
      <w:pPr>
        <w:autoSpaceDE w:val="0"/>
        <w:autoSpaceDN w:val="0"/>
        <w:spacing w:line="0" w:lineRule="atLeast"/>
        <w:ind w:right="40"/>
        <w:jc w:val="right"/>
        <w:rPr>
          <w:rFonts w:ascii="华文仿宋" w:hAnsi="华文仿宋" w:eastAsia="华文仿宋"/>
          <w:sz w:val="28"/>
          <w:szCs w:val="28"/>
        </w:rPr>
      </w:pPr>
    </w:p>
    <w:p>
      <w:pPr>
        <w:autoSpaceDE w:val="0"/>
        <w:autoSpaceDN w:val="0"/>
        <w:spacing w:line="0" w:lineRule="atLeast"/>
        <w:ind w:right="40"/>
        <w:jc w:val="right"/>
        <w:rPr>
          <w:rFonts w:ascii="华文仿宋" w:hAnsi="华文仿宋" w:eastAsia="华文仿宋"/>
          <w:sz w:val="28"/>
          <w:szCs w:val="28"/>
        </w:rPr>
      </w:pPr>
      <w:r>
        <w:rPr>
          <w:rFonts w:hint="eastAsia" w:ascii="仿宋" w:hAnsi="仿宋" w:eastAsia="仿宋" w:cs="宋体"/>
          <w:color w:val="000000"/>
          <w:kern w:val="0"/>
          <w:sz w:val="21"/>
          <w:szCs w:val="21"/>
        </w:rPr>
        <w:t>单位：元/千瓦时</w:t>
      </w:r>
    </w:p>
    <w:tbl>
      <w:tblPr>
        <w:tblStyle w:val="6"/>
        <w:tblpPr w:leftFromText="180" w:rightFromText="180" w:vertAnchor="page" w:horzAnchor="margin" w:tblpXSpec="center" w:tblpY="4261"/>
        <w:tblW w:w="13716" w:type="dxa"/>
        <w:tblInd w:w="0" w:type="dxa"/>
        <w:tblLayout w:type="fixed"/>
        <w:tblCellMar>
          <w:top w:w="0" w:type="dxa"/>
          <w:left w:w="108" w:type="dxa"/>
          <w:bottom w:w="0" w:type="dxa"/>
          <w:right w:w="108" w:type="dxa"/>
        </w:tblCellMar>
      </w:tblPr>
      <w:tblGrid>
        <w:gridCol w:w="2376"/>
        <w:gridCol w:w="1016"/>
        <w:gridCol w:w="1536"/>
        <w:gridCol w:w="1276"/>
        <w:gridCol w:w="1275"/>
        <w:gridCol w:w="1418"/>
        <w:gridCol w:w="1276"/>
        <w:gridCol w:w="1701"/>
        <w:gridCol w:w="1842"/>
      </w:tblGrid>
      <w:tr>
        <w:tblPrEx>
          <w:tblLayout w:type="fixed"/>
          <w:tblCellMar>
            <w:top w:w="0" w:type="dxa"/>
            <w:left w:w="108" w:type="dxa"/>
            <w:bottom w:w="0" w:type="dxa"/>
            <w:right w:w="108" w:type="dxa"/>
          </w:tblCellMar>
        </w:tblPrEx>
        <w:trPr>
          <w:trHeight w:val="405" w:hRule="atLeast"/>
        </w:trPr>
        <w:tc>
          <w:tcPr>
            <w:tcW w:w="3392" w:type="dxa"/>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用电分类</w:t>
            </w:r>
          </w:p>
        </w:tc>
        <w:tc>
          <w:tcPr>
            <w:tcW w:w="6781" w:type="dxa"/>
            <w:gridSpan w:val="5"/>
            <w:tcBorders>
              <w:top w:val="single" w:color="auto" w:sz="8"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电度电价</w:t>
            </w:r>
          </w:p>
        </w:tc>
        <w:tc>
          <w:tcPr>
            <w:tcW w:w="3543" w:type="dxa"/>
            <w:gridSpan w:val="2"/>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基本电价</w:t>
            </w:r>
          </w:p>
        </w:tc>
      </w:tr>
      <w:tr>
        <w:tblPrEx>
          <w:tblLayout w:type="fixed"/>
          <w:tblCellMar>
            <w:top w:w="0" w:type="dxa"/>
            <w:left w:w="108" w:type="dxa"/>
            <w:bottom w:w="0" w:type="dxa"/>
            <w:right w:w="108" w:type="dxa"/>
          </w:tblCellMar>
        </w:tblPrEx>
        <w:trPr>
          <w:trHeight w:val="1034" w:hRule="atLeast"/>
        </w:trPr>
        <w:tc>
          <w:tcPr>
            <w:tcW w:w="3392" w:type="dxa"/>
            <w:gridSpan w:val="2"/>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kern w:val="0"/>
                <w:sz w:val="24"/>
                <w:szCs w:val="24"/>
              </w:rPr>
            </w:pPr>
          </w:p>
        </w:tc>
        <w:tc>
          <w:tcPr>
            <w:tcW w:w="1536"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不满1千伏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1-10千伏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35千伏</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110千伏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220千伏</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方正黑体_GBK" w:eastAsia="方正黑体_GBK" w:cs="宋体" w:hAnsiTheme="minorEastAsia"/>
                <w:kern w:val="0"/>
                <w:sz w:val="24"/>
                <w:szCs w:val="24"/>
              </w:rPr>
            </w:pPr>
            <w:r>
              <w:rPr>
                <w:rFonts w:hint="eastAsia" w:ascii="方正黑体_GBK" w:eastAsia="方正黑体_GBK" w:cs="宋体" w:hAnsiTheme="minorEastAsia"/>
                <w:kern w:val="0"/>
                <w:sz w:val="24"/>
                <w:szCs w:val="24"/>
              </w:rPr>
              <w:t>最大需量（元/千瓦·月）</w:t>
            </w:r>
          </w:p>
        </w:tc>
        <w:tc>
          <w:tcPr>
            <w:tcW w:w="1842" w:type="dxa"/>
            <w:tcBorders>
              <w:top w:val="nil"/>
              <w:left w:val="nil"/>
              <w:bottom w:val="single" w:color="auto" w:sz="4" w:space="0"/>
              <w:right w:val="single" w:color="auto" w:sz="8" w:space="0"/>
            </w:tcBorders>
            <w:shd w:val="clear" w:color="auto" w:fill="auto"/>
            <w:vAlign w:val="center"/>
          </w:tcPr>
          <w:p>
            <w:pPr>
              <w:widowControl/>
              <w:spacing w:line="440" w:lineRule="exact"/>
              <w:jc w:val="center"/>
              <w:rPr>
                <w:rFonts w:ascii="方正黑体_GBK" w:eastAsia="方正黑体_GBK" w:cs="宋体" w:hAnsiTheme="minorEastAsia"/>
                <w:kern w:val="0"/>
                <w:sz w:val="24"/>
                <w:szCs w:val="24"/>
              </w:rPr>
            </w:pPr>
            <w:r>
              <w:rPr>
                <w:rFonts w:hint="eastAsia" w:ascii="方正黑体_GBK" w:eastAsia="方正黑体_GBK" w:cs="宋体" w:hAnsiTheme="minorEastAsia"/>
                <w:kern w:val="0"/>
                <w:sz w:val="24"/>
                <w:szCs w:val="24"/>
              </w:rPr>
              <w:t>最大容量（元/千伏安·月）</w:t>
            </w:r>
          </w:p>
        </w:tc>
      </w:tr>
      <w:tr>
        <w:tblPrEx>
          <w:tblLayout w:type="fixed"/>
          <w:tblCellMar>
            <w:top w:w="0" w:type="dxa"/>
            <w:left w:w="108" w:type="dxa"/>
            <w:bottom w:w="0" w:type="dxa"/>
            <w:right w:w="108" w:type="dxa"/>
          </w:tblCellMar>
        </w:tblPrEx>
        <w:trPr>
          <w:trHeight w:val="705" w:hRule="atLeast"/>
        </w:trPr>
        <w:tc>
          <w:tcPr>
            <w:tcW w:w="2376" w:type="dxa"/>
            <w:vMerge w:val="restart"/>
            <w:tcBorders>
              <w:top w:val="single" w:color="auto" w:sz="4" w:space="0"/>
              <w:left w:val="single" w:color="auto" w:sz="8"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工商业及其他用电</w:t>
            </w:r>
          </w:p>
        </w:tc>
        <w:tc>
          <w:tcPr>
            <w:tcW w:w="101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单一制</w:t>
            </w:r>
          </w:p>
        </w:tc>
        <w:tc>
          <w:tcPr>
            <w:tcW w:w="1536" w:type="dxa"/>
            <w:tcBorders>
              <w:top w:val="nil"/>
              <w:left w:val="nil"/>
              <w:bottom w:val="single" w:color="auto" w:sz="4"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0.2966</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0.2766</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0.2566</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0.2416</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4"/>
                <w:szCs w:val="24"/>
              </w:rPr>
            </w:pPr>
            <w:r>
              <w:rPr>
                <w:rFonts w:hint="eastAsia" w:ascii="方正仿宋_GBK" w:hAnsi="宋体" w:eastAsia="方正仿宋_GBK" w:cs="宋体"/>
                <w:sz w:val="24"/>
                <w:szCs w:val="24"/>
              </w:rPr>
              <w:t>　</w:t>
            </w:r>
          </w:p>
        </w:tc>
        <w:tc>
          <w:tcPr>
            <w:tcW w:w="1842"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宋体" w:eastAsia="方正仿宋_GBK" w:cs="宋体"/>
                <w:sz w:val="24"/>
                <w:szCs w:val="24"/>
              </w:rPr>
            </w:pPr>
            <w:r>
              <w:rPr>
                <w:rFonts w:hint="eastAsia" w:ascii="方正仿宋_GBK" w:hAnsi="宋体" w:eastAsia="方正仿宋_GBK" w:cs="宋体"/>
                <w:sz w:val="24"/>
                <w:szCs w:val="24"/>
              </w:rPr>
              <w:t>　</w:t>
            </w:r>
          </w:p>
        </w:tc>
      </w:tr>
      <w:tr>
        <w:tblPrEx>
          <w:tblLayout w:type="fixed"/>
          <w:tblCellMar>
            <w:top w:w="0" w:type="dxa"/>
            <w:left w:w="108" w:type="dxa"/>
            <w:bottom w:w="0" w:type="dxa"/>
            <w:right w:w="108" w:type="dxa"/>
          </w:tblCellMar>
        </w:tblPrEx>
        <w:trPr>
          <w:trHeight w:val="705" w:hRule="atLeast"/>
        </w:trPr>
        <w:tc>
          <w:tcPr>
            <w:tcW w:w="2376" w:type="dxa"/>
            <w:vMerge w:val="continue"/>
            <w:tcBorders>
              <w:left w:val="single" w:color="auto" w:sz="8" w:space="0"/>
              <w:bottom w:val="single" w:color="auto" w:sz="8"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p>
        </w:tc>
        <w:tc>
          <w:tcPr>
            <w:tcW w:w="1016"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两部制</w:t>
            </w:r>
          </w:p>
        </w:tc>
        <w:tc>
          <w:tcPr>
            <w:tcW w:w="1536" w:type="dxa"/>
            <w:tcBorders>
              <w:top w:val="nil"/>
              <w:left w:val="nil"/>
              <w:bottom w:val="single" w:color="auto" w:sz="8"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　</w:t>
            </w:r>
          </w:p>
        </w:tc>
        <w:tc>
          <w:tcPr>
            <w:tcW w:w="1276" w:type="dxa"/>
            <w:tcBorders>
              <w:top w:val="nil"/>
              <w:left w:val="nil"/>
              <w:bottom w:val="single" w:color="auto" w:sz="8"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0.1859</w:t>
            </w:r>
          </w:p>
        </w:tc>
        <w:tc>
          <w:tcPr>
            <w:tcW w:w="1275" w:type="dxa"/>
            <w:tcBorders>
              <w:top w:val="nil"/>
              <w:left w:val="nil"/>
              <w:bottom w:val="single" w:color="auto" w:sz="8"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0.1632</w:t>
            </w:r>
          </w:p>
        </w:tc>
        <w:tc>
          <w:tcPr>
            <w:tcW w:w="1418" w:type="dxa"/>
            <w:tcBorders>
              <w:top w:val="nil"/>
              <w:left w:val="nil"/>
              <w:bottom w:val="single" w:color="auto" w:sz="8"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0.1459</w:t>
            </w:r>
          </w:p>
        </w:tc>
        <w:tc>
          <w:tcPr>
            <w:tcW w:w="1276" w:type="dxa"/>
            <w:tcBorders>
              <w:top w:val="nil"/>
              <w:left w:val="nil"/>
              <w:bottom w:val="single" w:color="auto" w:sz="8" w:space="0"/>
              <w:right w:val="single" w:color="auto" w:sz="4" w:space="0"/>
            </w:tcBorders>
            <w:shd w:val="clear" w:color="auto" w:fill="auto"/>
            <w:vAlign w:val="center"/>
          </w:tcPr>
          <w:p>
            <w:pPr>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0.1309</w:t>
            </w:r>
          </w:p>
        </w:tc>
        <w:tc>
          <w:tcPr>
            <w:tcW w:w="1701" w:type="dxa"/>
            <w:tcBorders>
              <w:top w:val="nil"/>
              <w:left w:val="nil"/>
              <w:bottom w:val="single" w:color="auto" w:sz="8" w:space="0"/>
              <w:right w:val="single" w:color="auto" w:sz="4" w:space="0"/>
            </w:tcBorders>
            <w:shd w:val="clear" w:color="auto" w:fill="auto"/>
            <w:vAlign w:val="center"/>
          </w:tcPr>
          <w:p>
            <w:pPr>
              <w:widowControl/>
              <w:jc w:val="center"/>
              <w:rPr>
                <w:rFonts w:ascii="方正仿宋_GBK" w:hAnsi="宋体" w:eastAsia="方正仿宋_GBK" w:cs="宋体"/>
                <w:sz w:val="24"/>
                <w:szCs w:val="24"/>
              </w:rPr>
            </w:pPr>
            <w:r>
              <w:rPr>
                <w:rFonts w:hint="eastAsia" w:ascii="方正仿宋_GBK" w:hAnsi="宋体" w:eastAsia="方正仿宋_GBK" w:cs="宋体"/>
                <w:sz w:val="24"/>
                <w:szCs w:val="24"/>
              </w:rPr>
              <w:t>36</w:t>
            </w:r>
          </w:p>
        </w:tc>
        <w:tc>
          <w:tcPr>
            <w:tcW w:w="1842" w:type="dxa"/>
            <w:tcBorders>
              <w:top w:val="nil"/>
              <w:left w:val="nil"/>
              <w:bottom w:val="single" w:color="auto" w:sz="8" w:space="0"/>
              <w:right w:val="single" w:color="auto" w:sz="8" w:space="0"/>
            </w:tcBorders>
            <w:shd w:val="clear" w:color="auto" w:fill="auto"/>
            <w:vAlign w:val="center"/>
          </w:tcPr>
          <w:p>
            <w:pPr>
              <w:widowControl/>
              <w:jc w:val="center"/>
              <w:rPr>
                <w:rFonts w:ascii="方正仿宋_GBK" w:hAnsi="宋体" w:eastAsia="方正仿宋_GBK" w:cs="宋体"/>
                <w:sz w:val="24"/>
                <w:szCs w:val="24"/>
              </w:rPr>
            </w:pPr>
            <w:r>
              <w:rPr>
                <w:rFonts w:hint="eastAsia" w:ascii="方正仿宋_GBK" w:hAnsi="宋体" w:eastAsia="方正仿宋_GBK" w:cs="宋体"/>
                <w:sz w:val="24"/>
                <w:szCs w:val="24"/>
              </w:rPr>
              <w:t>24</w:t>
            </w:r>
          </w:p>
        </w:tc>
      </w:tr>
    </w:tbl>
    <w:p>
      <w:pPr>
        <w:widowControl/>
        <w:spacing w:line="0" w:lineRule="atLeast"/>
        <w:ind w:firstLine="420" w:firstLineChars="20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注：1.表中电价含增值税、线损及交叉补贴。</w:t>
      </w:r>
    </w:p>
    <w:p>
      <w:pPr>
        <w:widowControl/>
        <w:spacing w:line="0" w:lineRule="atLeast"/>
        <w:ind w:left="1055" w:leftChars="264" w:hanging="210" w:hangingChars="10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xml:space="preserve">2.参与电力市场化交易的电力用户输配电价水平按上表执行，并按规定征收政府性基金及附加，政府性基金及附加的具体征收标准以现行目录销售电价表中征收标准为准。其他电力用户继续执行现行目录销售电价政策。 </w:t>
      </w:r>
    </w:p>
    <w:p>
      <w:pPr>
        <w:widowControl/>
        <w:spacing w:line="0" w:lineRule="atLeast"/>
        <w:ind w:left="1055" w:leftChars="264" w:hanging="210" w:hangingChars="10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3.2017—2019年国网重庆市电力公司综合线损率按6.94%计算，实际运行中线损率超过6.94%带来的风险由国网重庆市电力公司承担，低于6.94%的收益由国网重庆市电力公司和用户各分享50%。</w:t>
      </w:r>
    </w:p>
    <w:p>
      <w:pPr>
        <w:autoSpaceDE w:val="0"/>
        <w:autoSpaceDN w:val="0"/>
        <w:spacing w:line="0" w:lineRule="atLeast"/>
        <w:ind w:right="40"/>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79"/>
    <w:rsid w:val="00016CD5"/>
    <w:rsid w:val="00041F7E"/>
    <w:rsid w:val="00053C7C"/>
    <w:rsid w:val="00095279"/>
    <w:rsid w:val="000A5314"/>
    <w:rsid w:val="001142BF"/>
    <w:rsid w:val="001E0E76"/>
    <w:rsid w:val="002E3067"/>
    <w:rsid w:val="00307ECD"/>
    <w:rsid w:val="003F77F7"/>
    <w:rsid w:val="003F7F60"/>
    <w:rsid w:val="004E6F75"/>
    <w:rsid w:val="004F71C3"/>
    <w:rsid w:val="00534E39"/>
    <w:rsid w:val="00576C43"/>
    <w:rsid w:val="005C3884"/>
    <w:rsid w:val="005D343A"/>
    <w:rsid w:val="00641D5E"/>
    <w:rsid w:val="00663A42"/>
    <w:rsid w:val="007007B8"/>
    <w:rsid w:val="007530B5"/>
    <w:rsid w:val="008A6F30"/>
    <w:rsid w:val="0090038D"/>
    <w:rsid w:val="00977F67"/>
    <w:rsid w:val="00BA5FBE"/>
    <w:rsid w:val="00BF177C"/>
    <w:rsid w:val="00E521B0"/>
    <w:rsid w:val="00E64379"/>
    <w:rsid w:val="00EA7300"/>
    <w:rsid w:val="00EA75D5"/>
    <w:rsid w:val="00F102BD"/>
    <w:rsid w:val="00F64BDB"/>
    <w:rsid w:val="00FE440B"/>
    <w:rsid w:val="70BD7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1</Pages>
  <Words>61</Words>
  <Characters>350</Characters>
  <Lines>2</Lines>
  <Paragraphs>1</Paragraphs>
  <TotalTime>1</TotalTime>
  <ScaleCrop>false</ScaleCrop>
  <LinksUpToDate>false</LinksUpToDate>
  <CharactersWithSpaces>410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2019-04-17T07:06:00Z</dcterms:created>
  <dc:creator>Administrator</dc:creator>
  <cp:lastModifiedBy>acer</cp:lastModifiedBy>
  <cp:lastPrinted>2019-04-17T07:06:00Z</cp:lastPrinted>
  <dcterms:modified xsi:type="dcterms:W3CDTF">2019-04-25T02:59:08Z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