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28" w:rsidRDefault="000C1228">
      <w:pPr>
        <w:pStyle w:val="a0"/>
      </w:pPr>
    </w:p>
    <w:p w:rsidR="00093F85" w:rsidRDefault="00093F85">
      <w:pPr>
        <w:pStyle w:val="a0"/>
      </w:pPr>
    </w:p>
    <w:tbl>
      <w:tblPr>
        <w:tblW w:w="0" w:type="auto"/>
        <w:jc w:val="center"/>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4781"/>
      </w:tblGrid>
      <w:tr w:rsidR="00A07683" w:rsidTr="00093F85">
        <w:trPr>
          <w:trHeight w:val="536"/>
          <w:jc w:val="center"/>
        </w:trPr>
        <w:tc>
          <w:tcPr>
            <w:tcW w:w="4781" w:type="dxa"/>
            <w:tcBorders>
              <w:top w:val="nil"/>
              <w:left w:val="nil"/>
              <w:right w:val="nil"/>
            </w:tcBorders>
            <w:noWrap/>
          </w:tcPr>
          <w:p w:rsidR="00A07683" w:rsidRDefault="00A07683" w:rsidP="00757AB2">
            <w:pPr>
              <w:adjustRightInd/>
              <w:spacing w:line="540" w:lineRule="exact"/>
              <w:jc w:val="distribute"/>
              <w:textAlignment w:val="auto"/>
              <w:rPr>
                <w:rFonts w:eastAsia="方正小标宋_GBK"/>
                <w:kern w:val="2"/>
                <w:sz w:val="44"/>
                <w:szCs w:val="44"/>
              </w:rPr>
            </w:pPr>
            <w:bookmarkStart w:id="0" w:name="正文"/>
            <w:bookmarkEnd w:id="0"/>
            <w:r>
              <w:rPr>
                <w:rFonts w:eastAsia="方正小标宋_GBK"/>
                <w:kern w:val="2"/>
                <w:sz w:val="44"/>
                <w:szCs w:val="44"/>
              </w:rPr>
              <w:t>重庆市粮食局</w:t>
            </w:r>
          </w:p>
        </w:tc>
      </w:tr>
      <w:tr w:rsidR="00A07683" w:rsidTr="00093F85">
        <w:trPr>
          <w:trHeight w:val="551"/>
          <w:jc w:val="center"/>
        </w:trPr>
        <w:tc>
          <w:tcPr>
            <w:tcW w:w="4781" w:type="dxa"/>
            <w:tcBorders>
              <w:left w:val="nil"/>
              <w:bottom w:val="nil"/>
              <w:right w:val="nil"/>
            </w:tcBorders>
            <w:noWrap/>
          </w:tcPr>
          <w:p w:rsidR="00A07683" w:rsidRDefault="00A07683" w:rsidP="00757AB2">
            <w:pPr>
              <w:adjustRightInd/>
              <w:spacing w:line="540" w:lineRule="exact"/>
              <w:jc w:val="distribute"/>
              <w:textAlignment w:val="auto"/>
              <w:rPr>
                <w:rFonts w:eastAsia="方正小标宋_GBK"/>
                <w:kern w:val="2"/>
                <w:sz w:val="44"/>
                <w:szCs w:val="44"/>
              </w:rPr>
            </w:pPr>
            <w:r>
              <w:rPr>
                <w:rFonts w:eastAsia="方正小标宋_GBK"/>
                <w:kern w:val="2"/>
                <w:sz w:val="44"/>
                <w:szCs w:val="44"/>
              </w:rPr>
              <w:t>重庆市财政局</w:t>
            </w:r>
          </w:p>
        </w:tc>
      </w:tr>
    </w:tbl>
    <w:p w:rsidR="00A07683" w:rsidRDefault="00A07683" w:rsidP="00757AB2">
      <w:pPr>
        <w:adjustRightInd/>
        <w:spacing w:line="540" w:lineRule="exact"/>
        <w:jc w:val="center"/>
        <w:textAlignment w:val="auto"/>
        <w:outlineLvl w:val="0"/>
        <w:rPr>
          <w:rFonts w:eastAsia="方正小标宋_GBK"/>
          <w:kern w:val="2"/>
          <w:sz w:val="44"/>
          <w:szCs w:val="44"/>
        </w:rPr>
      </w:pPr>
      <w:r>
        <w:rPr>
          <w:rFonts w:eastAsia="方正小标宋_GBK"/>
          <w:kern w:val="2"/>
          <w:sz w:val="44"/>
          <w:szCs w:val="44"/>
        </w:rPr>
        <w:t>关于印发《重庆市优质粮食工程项目</w:t>
      </w:r>
    </w:p>
    <w:p w:rsidR="00A07683" w:rsidRDefault="00A07683" w:rsidP="00757AB2">
      <w:pPr>
        <w:adjustRightInd/>
        <w:spacing w:line="540" w:lineRule="exact"/>
        <w:jc w:val="center"/>
        <w:rPr>
          <w:rFonts w:eastAsia="方正小标宋_GBK"/>
          <w:kern w:val="2"/>
          <w:sz w:val="44"/>
          <w:szCs w:val="44"/>
        </w:rPr>
      </w:pPr>
      <w:r>
        <w:rPr>
          <w:rFonts w:eastAsia="方正小标宋_GBK"/>
          <w:kern w:val="2"/>
          <w:sz w:val="44"/>
          <w:szCs w:val="44"/>
        </w:rPr>
        <w:t>及资金管理办法》的通知</w:t>
      </w:r>
    </w:p>
    <w:p w:rsidR="000C1228" w:rsidRDefault="000C1228">
      <w:pPr>
        <w:spacing w:line="540" w:lineRule="exact"/>
        <w:jc w:val="center"/>
        <w:rPr>
          <w:rFonts w:ascii="方正仿宋_GBK" w:hAnsi="方正仿宋_GBK" w:cs="方正仿宋_GBK"/>
        </w:rPr>
      </w:pPr>
      <w:r>
        <w:rPr>
          <w:rFonts w:ascii="方正仿宋_GBK" w:hAnsi="方正仿宋_GBK" w:cs="方正仿宋_GBK" w:hint="eastAsia"/>
        </w:rPr>
        <w:t>渝粮规范〔</w:t>
      </w:r>
      <w:r>
        <w:t>2022</w:t>
      </w:r>
      <w:r>
        <w:rPr>
          <w:rFonts w:ascii="方正仿宋_GBK" w:hAnsi="方正仿宋_GBK" w:cs="方正仿宋_GBK" w:hint="eastAsia"/>
        </w:rPr>
        <w:t>〕</w:t>
      </w:r>
      <w:r w:rsidR="00A07683">
        <w:rPr>
          <w:rFonts w:hint="eastAsia"/>
        </w:rPr>
        <w:t>8</w:t>
      </w:r>
      <w:r>
        <w:rPr>
          <w:rFonts w:ascii="方正仿宋_GBK" w:hAnsi="方正仿宋_GBK" w:cs="方正仿宋_GBK" w:hint="eastAsia"/>
        </w:rPr>
        <w:t>号</w:t>
      </w:r>
    </w:p>
    <w:p w:rsidR="000C1228" w:rsidRDefault="000C1228">
      <w:pPr>
        <w:pStyle w:val="a0"/>
      </w:pPr>
    </w:p>
    <w:p w:rsidR="00042C21" w:rsidRDefault="00042C21" w:rsidP="00757AB2">
      <w:pPr>
        <w:adjustRightInd/>
        <w:spacing w:line="600" w:lineRule="exact"/>
        <w:textAlignment w:val="auto"/>
        <w:rPr>
          <w:kern w:val="2"/>
        </w:rPr>
      </w:pPr>
      <w:r>
        <w:rPr>
          <w:kern w:val="2"/>
        </w:rPr>
        <w:t>各区县（自治县）发展改革委、财政局，两江新区经济运行局、财政局，重庆高新区改革发展局、财政局，万盛经开区发展改革局、财政局，有关单位：</w:t>
      </w:r>
    </w:p>
    <w:p w:rsidR="00042C21" w:rsidRDefault="00042C21" w:rsidP="00757AB2">
      <w:pPr>
        <w:overflowPunct w:val="0"/>
        <w:adjustRightInd/>
        <w:spacing w:line="600" w:lineRule="exact"/>
        <w:ind w:firstLineChars="200" w:firstLine="640"/>
        <w:textAlignment w:val="auto"/>
        <w:rPr>
          <w:kern w:val="2"/>
        </w:rPr>
      </w:pPr>
      <w:r>
        <w:rPr>
          <w:kern w:val="2"/>
        </w:rPr>
        <w:t>按照国家粮食和物资储备局、财政部优质粮食工程项目实施工作安排，根据《财政部</w:t>
      </w:r>
      <w:r>
        <w:rPr>
          <w:kern w:val="2"/>
        </w:rPr>
        <w:t xml:space="preserve"> </w:t>
      </w:r>
      <w:r>
        <w:rPr>
          <w:kern w:val="2"/>
        </w:rPr>
        <w:t>国家粮食和物资储备局关于深入推进优质粮食工程的意见》（财建〔</w:t>
      </w:r>
      <w:r>
        <w:rPr>
          <w:kern w:val="2"/>
        </w:rPr>
        <w:t>2021</w:t>
      </w:r>
      <w:r>
        <w:rPr>
          <w:kern w:val="2"/>
        </w:rPr>
        <w:t>〕</w:t>
      </w:r>
      <w:r>
        <w:rPr>
          <w:kern w:val="2"/>
        </w:rPr>
        <w:t>177</w:t>
      </w:r>
      <w:r>
        <w:rPr>
          <w:kern w:val="2"/>
        </w:rPr>
        <w:t>号）和《国家粮食和物资储备局关于印发优质粮食工程</w:t>
      </w:r>
      <w:r>
        <w:rPr>
          <w:rFonts w:hint="eastAsia"/>
          <w:kern w:val="2"/>
        </w:rPr>
        <w:t>“</w:t>
      </w:r>
      <w:r>
        <w:rPr>
          <w:kern w:val="2"/>
        </w:rPr>
        <w:t>六大提升行动</w:t>
      </w:r>
      <w:r>
        <w:rPr>
          <w:rFonts w:hint="eastAsia"/>
          <w:kern w:val="2"/>
        </w:rPr>
        <w:t>”</w:t>
      </w:r>
      <w:r>
        <w:rPr>
          <w:kern w:val="2"/>
        </w:rPr>
        <w:t>方案的通知》（国粮规〔</w:t>
      </w:r>
      <w:r>
        <w:rPr>
          <w:kern w:val="2"/>
        </w:rPr>
        <w:t>2021</w:t>
      </w:r>
      <w:r>
        <w:rPr>
          <w:kern w:val="2"/>
        </w:rPr>
        <w:t>〕</w:t>
      </w:r>
      <w:r>
        <w:rPr>
          <w:kern w:val="2"/>
        </w:rPr>
        <w:t>236</w:t>
      </w:r>
      <w:r>
        <w:rPr>
          <w:kern w:val="2"/>
        </w:rPr>
        <w:t>号）有关规定，结合我市实际，制定《重庆市优质粮食工程项目及资金管理办法》</w:t>
      </w:r>
      <w:r>
        <w:rPr>
          <w:rFonts w:hint="eastAsia"/>
          <w:kern w:val="2"/>
        </w:rPr>
        <w:t>，经市发展改革委第</w:t>
      </w:r>
      <w:r>
        <w:rPr>
          <w:rFonts w:hint="eastAsia"/>
          <w:kern w:val="2"/>
        </w:rPr>
        <w:t>68</w:t>
      </w:r>
      <w:r>
        <w:rPr>
          <w:rFonts w:hint="eastAsia"/>
          <w:kern w:val="2"/>
        </w:rPr>
        <w:t>次委主任办公会审议通过，</w:t>
      </w:r>
      <w:r>
        <w:rPr>
          <w:kern w:val="2"/>
        </w:rPr>
        <w:t>现印发给你们，请遵照执行。</w:t>
      </w:r>
    </w:p>
    <w:p w:rsidR="000C1228" w:rsidRDefault="000C1228" w:rsidP="00757AB2">
      <w:pPr>
        <w:overflowPunct w:val="0"/>
        <w:adjustRightInd/>
        <w:spacing w:line="600" w:lineRule="exact"/>
        <w:textAlignment w:val="auto"/>
        <w:rPr>
          <w:kern w:val="2"/>
        </w:rPr>
      </w:pPr>
    </w:p>
    <w:p w:rsidR="003F32E8" w:rsidRPr="003F32E8" w:rsidRDefault="003F32E8" w:rsidP="003F32E8">
      <w:pPr>
        <w:pStyle w:val="a0"/>
      </w:pPr>
    </w:p>
    <w:p w:rsidR="00042C21" w:rsidRDefault="00042C21" w:rsidP="00757AB2">
      <w:pPr>
        <w:overflowPunct w:val="0"/>
        <w:adjustRightInd/>
        <w:spacing w:line="600" w:lineRule="exact"/>
        <w:ind w:firstLineChars="1950" w:firstLine="6240"/>
        <w:textAlignment w:val="auto"/>
        <w:rPr>
          <w:kern w:val="2"/>
        </w:rPr>
      </w:pPr>
      <w:r>
        <w:rPr>
          <w:kern w:val="2"/>
        </w:rPr>
        <w:t>重庆市粮食局</w:t>
      </w:r>
    </w:p>
    <w:p w:rsidR="000C1228" w:rsidRDefault="00042C21" w:rsidP="00757AB2">
      <w:pPr>
        <w:overflowPunct w:val="0"/>
        <w:adjustRightInd/>
        <w:spacing w:line="600" w:lineRule="exact"/>
        <w:ind w:firstLineChars="1950" w:firstLine="6240"/>
        <w:textAlignment w:val="auto"/>
        <w:rPr>
          <w:kern w:val="2"/>
        </w:rPr>
      </w:pPr>
      <w:r>
        <w:rPr>
          <w:kern w:val="2"/>
        </w:rPr>
        <w:t>重庆市财政局</w:t>
      </w:r>
      <w:r w:rsidR="000C1228">
        <w:rPr>
          <w:rFonts w:hint="eastAsia"/>
          <w:kern w:val="2"/>
        </w:rPr>
        <w:t xml:space="preserve">  </w:t>
      </w:r>
    </w:p>
    <w:p w:rsidR="000C1228" w:rsidRDefault="000C1228" w:rsidP="00757AB2">
      <w:pPr>
        <w:tabs>
          <w:tab w:val="left" w:pos="8320"/>
        </w:tabs>
        <w:adjustRightInd/>
        <w:spacing w:line="600" w:lineRule="exact"/>
        <w:rPr>
          <w:bCs/>
        </w:rPr>
      </w:pPr>
      <w:r>
        <w:rPr>
          <w:rFonts w:hint="eastAsia"/>
          <w:kern w:val="2"/>
        </w:rPr>
        <w:t xml:space="preserve">                                     2022</w:t>
      </w:r>
      <w:r>
        <w:rPr>
          <w:rFonts w:hint="eastAsia"/>
          <w:kern w:val="2"/>
        </w:rPr>
        <w:t>年</w:t>
      </w:r>
      <w:r w:rsidR="00042C21">
        <w:rPr>
          <w:rFonts w:hint="eastAsia"/>
          <w:kern w:val="2"/>
        </w:rPr>
        <w:t>11</w:t>
      </w:r>
      <w:r w:rsidR="00042C21">
        <w:rPr>
          <w:kern w:val="2"/>
        </w:rPr>
        <w:t>月</w:t>
      </w:r>
      <w:r w:rsidR="00042C21">
        <w:rPr>
          <w:rFonts w:hint="eastAsia"/>
          <w:kern w:val="2"/>
        </w:rPr>
        <w:t>24</w:t>
      </w:r>
      <w:r w:rsidR="00042C21">
        <w:rPr>
          <w:kern w:val="2"/>
        </w:rPr>
        <w:t>日</w:t>
      </w:r>
    </w:p>
    <w:p w:rsidR="000C1228" w:rsidRDefault="000C1228" w:rsidP="00757AB2">
      <w:pPr>
        <w:adjustRightInd/>
        <w:spacing w:line="600" w:lineRule="exact"/>
        <w:ind w:firstLineChars="100" w:firstLine="320"/>
        <w:jc w:val="right"/>
      </w:pPr>
      <w:r>
        <w:rPr>
          <w:rFonts w:hint="eastAsia"/>
        </w:rPr>
        <w:t xml:space="preserve">      </w:t>
      </w:r>
    </w:p>
    <w:p w:rsidR="000C1228" w:rsidRDefault="000C1228" w:rsidP="0070141B">
      <w:pPr>
        <w:overflowPunct w:val="0"/>
        <w:adjustRightInd/>
        <w:spacing w:line="600" w:lineRule="exact"/>
        <w:jc w:val="left"/>
        <w:textAlignment w:val="auto"/>
        <w:rPr>
          <w:rFonts w:eastAsia="方正小标宋_GBK" w:cs="方正小标宋_GBK"/>
          <w:kern w:val="2"/>
          <w:sz w:val="44"/>
          <w:szCs w:val="44"/>
        </w:rPr>
      </w:pPr>
    </w:p>
    <w:p w:rsidR="0070141B" w:rsidRDefault="0070141B" w:rsidP="0070141B">
      <w:pPr>
        <w:pStyle w:val="a0"/>
      </w:pPr>
    </w:p>
    <w:p w:rsidR="0070141B" w:rsidRDefault="0070141B" w:rsidP="0070141B">
      <w:pPr>
        <w:pStyle w:val="a0"/>
      </w:pPr>
    </w:p>
    <w:p w:rsidR="0070141B" w:rsidRDefault="0070141B" w:rsidP="0070141B">
      <w:pPr>
        <w:pStyle w:val="a0"/>
      </w:pPr>
    </w:p>
    <w:p w:rsidR="0070141B" w:rsidRDefault="0070141B" w:rsidP="0070141B">
      <w:pPr>
        <w:pStyle w:val="a0"/>
      </w:pPr>
    </w:p>
    <w:p w:rsidR="0070141B" w:rsidRDefault="0070141B" w:rsidP="0070141B">
      <w:pPr>
        <w:pStyle w:val="a0"/>
      </w:pPr>
    </w:p>
    <w:p w:rsidR="0070141B" w:rsidRDefault="0070141B" w:rsidP="0070141B">
      <w:pPr>
        <w:pStyle w:val="a0"/>
      </w:pPr>
    </w:p>
    <w:p w:rsidR="0070141B" w:rsidRDefault="0070141B" w:rsidP="0070141B">
      <w:pPr>
        <w:pStyle w:val="a0"/>
      </w:pPr>
    </w:p>
    <w:p w:rsidR="0070141B" w:rsidRDefault="0070141B" w:rsidP="0070141B">
      <w:pPr>
        <w:pStyle w:val="a0"/>
      </w:pPr>
    </w:p>
    <w:p w:rsidR="0070141B" w:rsidRDefault="0070141B" w:rsidP="0070141B">
      <w:pPr>
        <w:pStyle w:val="a0"/>
      </w:pPr>
    </w:p>
    <w:p w:rsidR="0070141B" w:rsidRDefault="0070141B" w:rsidP="0070141B">
      <w:pPr>
        <w:pStyle w:val="a0"/>
      </w:pPr>
    </w:p>
    <w:p w:rsidR="0070141B" w:rsidRDefault="0070141B" w:rsidP="0070141B">
      <w:pPr>
        <w:pStyle w:val="a0"/>
      </w:pPr>
    </w:p>
    <w:p w:rsidR="0070141B" w:rsidRDefault="0070141B" w:rsidP="0070141B">
      <w:pPr>
        <w:pStyle w:val="a0"/>
      </w:pPr>
    </w:p>
    <w:p w:rsidR="0070141B" w:rsidRPr="0070141B" w:rsidRDefault="0070141B" w:rsidP="0070141B">
      <w:pPr>
        <w:pStyle w:val="a0"/>
      </w:pPr>
    </w:p>
    <w:p w:rsidR="00A84373" w:rsidRDefault="00A84373" w:rsidP="00757AB2">
      <w:pPr>
        <w:overflowPunct w:val="0"/>
        <w:adjustRightInd/>
        <w:spacing w:line="600" w:lineRule="exact"/>
        <w:jc w:val="center"/>
        <w:textAlignment w:val="auto"/>
        <w:outlineLvl w:val="0"/>
        <w:rPr>
          <w:rFonts w:eastAsia="方正小标宋_GBK"/>
          <w:kern w:val="2"/>
          <w:sz w:val="44"/>
          <w:szCs w:val="44"/>
        </w:rPr>
      </w:pPr>
      <w:r>
        <w:rPr>
          <w:rFonts w:eastAsia="方正小标宋_GBK"/>
          <w:kern w:val="2"/>
          <w:sz w:val="44"/>
          <w:szCs w:val="44"/>
        </w:rPr>
        <w:t>重庆市优质粮食工程项目及资金管理办法</w:t>
      </w:r>
    </w:p>
    <w:p w:rsidR="00A84373" w:rsidRDefault="00A84373" w:rsidP="00757AB2">
      <w:pPr>
        <w:adjustRightInd/>
        <w:spacing w:line="600" w:lineRule="exact"/>
        <w:textAlignment w:val="auto"/>
        <w:rPr>
          <w:rFonts w:eastAsia="仿宋_GB2312"/>
          <w:kern w:val="2"/>
          <w:szCs w:val="20"/>
        </w:rPr>
      </w:pPr>
    </w:p>
    <w:p w:rsidR="00A84373" w:rsidRDefault="00A84373" w:rsidP="00757AB2">
      <w:pPr>
        <w:numPr>
          <w:ilvl w:val="0"/>
          <w:numId w:val="1"/>
        </w:numPr>
        <w:overflowPunct w:val="0"/>
        <w:adjustRightInd/>
        <w:spacing w:after="160" w:line="600" w:lineRule="exact"/>
        <w:jc w:val="center"/>
        <w:textAlignment w:val="auto"/>
        <w:outlineLvl w:val="0"/>
        <w:rPr>
          <w:rFonts w:eastAsia="方正黑体_GBK"/>
          <w:kern w:val="2"/>
        </w:rPr>
      </w:pPr>
      <w:r>
        <w:rPr>
          <w:rFonts w:eastAsia="方正黑体_GBK"/>
          <w:kern w:val="2"/>
        </w:rPr>
        <w:t xml:space="preserve"> </w:t>
      </w:r>
      <w:r>
        <w:rPr>
          <w:rFonts w:eastAsia="方正黑体_GBK"/>
          <w:kern w:val="2"/>
        </w:rPr>
        <w:t>总</w:t>
      </w:r>
      <w:r>
        <w:rPr>
          <w:rFonts w:eastAsia="方正黑体_GBK"/>
          <w:kern w:val="2"/>
        </w:rPr>
        <w:t xml:space="preserve">  </w:t>
      </w:r>
      <w:r>
        <w:rPr>
          <w:rFonts w:eastAsia="方正黑体_GBK"/>
          <w:kern w:val="2"/>
        </w:rPr>
        <w:t>则</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为加强重庆市深入推进优质粮食工程项目及资金管理，确保项目质量和成效，提高资金使用绩效，根据《财政部 国家粮食和物资储备局关于深入推进优质粮食工程的意见》（财建〔</w:t>
      </w:r>
      <w:r>
        <w:rPr>
          <w:rFonts w:cs="方正仿宋_GBK" w:hint="eastAsia"/>
          <w:kern w:val="2"/>
        </w:rPr>
        <w:t>2021</w:t>
      </w:r>
      <w:r>
        <w:rPr>
          <w:rFonts w:ascii="方正仿宋_GBK" w:hAnsi="方正仿宋_GBK" w:cs="方正仿宋_GBK" w:hint="eastAsia"/>
          <w:kern w:val="2"/>
        </w:rPr>
        <w:t>〕</w:t>
      </w:r>
      <w:r>
        <w:rPr>
          <w:rFonts w:cs="方正仿宋_GBK" w:hint="eastAsia"/>
          <w:kern w:val="2"/>
        </w:rPr>
        <w:t>177</w:t>
      </w:r>
      <w:r>
        <w:rPr>
          <w:rFonts w:ascii="方正仿宋_GBK" w:hAnsi="方正仿宋_GBK" w:cs="方正仿宋_GBK" w:hint="eastAsia"/>
          <w:kern w:val="2"/>
        </w:rPr>
        <w:t>号）、《国家粮食和物资储备局关于印发优质粮食工程“六大提升行动”方案的通知》（国粮规〔</w:t>
      </w:r>
      <w:r>
        <w:rPr>
          <w:rFonts w:cs="方正仿宋_GBK" w:hint="eastAsia"/>
          <w:kern w:val="2"/>
        </w:rPr>
        <w:t>2021</w:t>
      </w:r>
      <w:r>
        <w:rPr>
          <w:rFonts w:ascii="方正仿宋_GBK" w:hAnsi="方正仿宋_GBK" w:cs="方正仿宋_GBK" w:hint="eastAsia"/>
          <w:kern w:val="2"/>
        </w:rPr>
        <w:t>〕</w:t>
      </w:r>
      <w:r>
        <w:rPr>
          <w:rFonts w:cs="方正仿宋_GBK" w:hint="eastAsia"/>
          <w:kern w:val="2"/>
        </w:rPr>
        <w:t>236</w:t>
      </w:r>
      <w:r>
        <w:rPr>
          <w:rFonts w:ascii="方正仿宋_GBK" w:hAnsi="方正仿宋_GBK" w:cs="方正仿宋_GBK" w:hint="eastAsia"/>
          <w:kern w:val="2"/>
        </w:rPr>
        <w:t>号）等有关文件规定，特制定本办法。</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本办法适用于重庆市范围内的粮食绿色仓储、粮食品种品质品牌、粮食质量追溯、粮食机械装备、粮食应急保障能力以及粮食节约减损健康消费提升行动六大方面。不得用于土地拆迁、新建或改扩建饲料加工厂房、检测中心楼房、物流运输车辆、休闲旅游观光农业、特色休闲小镇、接待中心、专家楼、办公生活设施、综合服务区等与实施项目无关内容。</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重庆市深入推进优质粮食工程项目建设以增强我市优质粮油供给能力，提高粮食产业质量效益和竞争力，更好满足</w:t>
      </w:r>
      <w:r>
        <w:rPr>
          <w:rFonts w:ascii="方正仿宋_GBK" w:hAnsi="方正仿宋_GBK" w:cs="方正仿宋_GBK" w:hint="eastAsia"/>
          <w:kern w:val="2"/>
        </w:rPr>
        <w:lastRenderedPageBreak/>
        <w:t>人民群众粮油消费升级需要为目标。</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通过实施优质粮食工程，充分运用</w:t>
      </w:r>
      <w:r>
        <w:rPr>
          <w:rFonts w:cs="方正仿宋_GBK" w:hint="eastAsia"/>
          <w:kern w:val="2"/>
        </w:rPr>
        <w:t>2017</w:t>
      </w:r>
      <w:r>
        <w:rPr>
          <w:rFonts w:ascii="方正仿宋_GBK" w:hAnsi="方正仿宋_GBK" w:cs="方正仿宋_GBK" w:hint="eastAsia"/>
          <w:kern w:val="2"/>
        </w:rPr>
        <w:t>年以来实施优质粮食工程既有成效，大力推进“三链协同”，深入实施“五优联动”，做实“六大提升行动”，打造“十四五”时期优质粮食工程升级版，加快粮食产业高质量发展。</w:t>
      </w:r>
    </w:p>
    <w:p w:rsidR="00A84373" w:rsidRDefault="00A84373" w:rsidP="00757AB2">
      <w:pPr>
        <w:overflowPunct w:val="0"/>
        <w:adjustRightInd/>
        <w:spacing w:line="600" w:lineRule="exact"/>
        <w:ind w:firstLineChars="200" w:firstLine="640"/>
        <w:textAlignment w:val="auto"/>
        <w:rPr>
          <w:rFonts w:ascii="方正仿宋_GBK" w:hAnsi="方正仿宋_GBK" w:cs="方正仿宋_GBK"/>
          <w:kern w:val="2"/>
        </w:rPr>
      </w:pPr>
    </w:p>
    <w:p w:rsidR="00A84373" w:rsidRDefault="00A84373" w:rsidP="00757AB2">
      <w:pPr>
        <w:numPr>
          <w:ilvl w:val="0"/>
          <w:numId w:val="1"/>
        </w:numPr>
        <w:overflowPunct w:val="0"/>
        <w:adjustRightInd/>
        <w:spacing w:after="160" w:line="600" w:lineRule="exact"/>
        <w:jc w:val="center"/>
        <w:textAlignment w:val="auto"/>
        <w:outlineLvl w:val="0"/>
        <w:rPr>
          <w:rFonts w:ascii="方正黑体_GBK" w:eastAsia="方正黑体_GBK" w:hAnsi="方正黑体_GBK" w:cs="方正黑体_GBK"/>
          <w:kern w:val="2"/>
        </w:rPr>
      </w:pPr>
      <w:r>
        <w:rPr>
          <w:rFonts w:ascii="方正黑体_GBK" w:eastAsia="方正黑体_GBK" w:hAnsi="方正黑体_GBK" w:cs="方正黑体_GBK" w:hint="eastAsia"/>
          <w:kern w:val="2"/>
        </w:rPr>
        <w:t>组织领导</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优质粮食工程项目的规划设计应符合全市和区县（自治县）实际，按照实事求是的原则进行统筹安排。市粮食局、市财政局负责全市优质粮食工程项目、资金的统筹指导。区县（自治县）粮食行政管理部门负责本辖区优质粮食工程项目统筹指导和组织实施，建立优质粮食工程实施协调机制。项目实施企业（单位）建立组织领导机构。</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市粮食局负责组织全市优质粮食工程项目管理，提出优质粮食工程专项资金（以下简称专项资金）分配建议，开展全过程绩效管理。市财政局负责专项资金预算管理，组织专项资金预算编制和执行。区县（自治县）粮食行政管理部门会同财政部门牵头抓好项目规划、组织实施、监督检查及绩效评价等工作，</w:t>
      </w:r>
      <w:r>
        <w:rPr>
          <w:rFonts w:ascii="方正仿宋_GBK" w:hAnsi="方正仿宋_GBK" w:cs="方正仿宋_GBK" w:hint="eastAsia"/>
          <w:kern w:val="2"/>
        </w:rPr>
        <w:lastRenderedPageBreak/>
        <w:t>确保项目实施按期推进。区县（自治县）财政部门负责专项资金预算管理、拨付下达和财政监督检查管理等工作。</w:t>
      </w:r>
    </w:p>
    <w:p w:rsidR="00A84373" w:rsidRDefault="00A84373" w:rsidP="00757AB2">
      <w:pPr>
        <w:overflowPunct w:val="0"/>
        <w:adjustRightInd/>
        <w:spacing w:line="600" w:lineRule="exact"/>
        <w:ind w:firstLineChars="200" w:firstLine="640"/>
        <w:textAlignment w:val="auto"/>
        <w:rPr>
          <w:rFonts w:ascii="方正仿宋_GBK" w:hAnsi="方正仿宋_GBK" w:cs="方正仿宋_GBK"/>
          <w:kern w:val="2"/>
        </w:rPr>
      </w:pPr>
    </w:p>
    <w:p w:rsidR="00A84373" w:rsidRDefault="00A84373" w:rsidP="00757AB2">
      <w:pPr>
        <w:numPr>
          <w:ilvl w:val="0"/>
          <w:numId w:val="1"/>
        </w:numPr>
        <w:overflowPunct w:val="0"/>
        <w:adjustRightInd/>
        <w:spacing w:after="160" w:line="600" w:lineRule="exact"/>
        <w:jc w:val="center"/>
        <w:textAlignment w:val="auto"/>
        <w:outlineLvl w:val="0"/>
        <w:rPr>
          <w:rFonts w:ascii="方正黑体_GBK" w:eastAsia="方正黑体_GBK" w:hAnsi="方正黑体_GBK" w:cs="方正黑体_GBK"/>
          <w:kern w:val="2"/>
        </w:rPr>
      </w:pPr>
      <w:r>
        <w:rPr>
          <w:rFonts w:ascii="方正黑体_GBK" w:eastAsia="方正黑体_GBK" w:hAnsi="方正黑体_GBK" w:cs="方正黑体_GBK" w:hint="eastAsia"/>
          <w:kern w:val="2"/>
        </w:rPr>
        <w:t xml:space="preserve"> 项目规划</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市粮食局根据国家优质粮食工程有关文件要求，结合重庆市实际，牵头编制完善《重庆市深入推进优质粮食工程实施方案》。区县（自治县）粮食行政管理部门按照国家要求和市级部署，结合实际，编制本区县（自治县）建设方案。</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优质粮食工程项目原则上采取先建后补的方式申报，申报时实际完成投资未超过项目总投资的</w:t>
      </w:r>
      <w:r>
        <w:rPr>
          <w:rFonts w:cs="方正仿宋_GBK" w:hint="eastAsia"/>
          <w:kern w:val="2"/>
        </w:rPr>
        <w:t>70%</w:t>
      </w:r>
      <w:r>
        <w:rPr>
          <w:rFonts w:ascii="方正仿宋_GBK" w:hAnsi="方正仿宋_GBK" w:cs="方正仿宋_GBK" w:hint="eastAsia"/>
          <w:kern w:val="2"/>
        </w:rPr>
        <w:t xml:space="preserve">。区县（自治县）粮食行政管理部门按照有关文件要求，组织辖区内企业（单位）进行项目策划。企业（单位）应按中央和市级优质粮食工程实施要求，结合自身优势，认真开展项目策划，编制项目实施方案，根据项目类型完善相关手续，明确项目相关情况。  </w:t>
      </w:r>
    </w:p>
    <w:p w:rsidR="00A84373" w:rsidRDefault="00A84373" w:rsidP="00757AB2">
      <w:pPr>
        <w:overflowPunct w:val="0"/>
        <w:adjustRightInd/>
        <w:spacing w:line="600" w:lineRule="exact"/>
        <w:ind w:firstLineChars="200" w:firstLine="640"/>
        <w:textAlignment w:val="auto"/>
        <w:rPr>
          <w:rFonts w:ascii="方正仿宋_GBK" w:hAnsi="方正仿宋_GBK" w:cs="方正仿宋_GBK"/>
          <w:kern w:val="2"/>
        </w:rPr>
      </w:pPr>
    </w:p>
    <w:p w:rsidR="00A84373" w:rsidRDefault="00A84373" w:rsidP="00757AB2">
      <w:pPr>
        <w:numPr>
          <w:ilvl w:val="0"/>
          <w:numId w:val="1"/>
        </w:numPr>
        <w:overflowPunct w:val="0"/>
        <w:adjustRightInd/>
        <w:spacing w:after="160" w:line="600" w:lineRule="exact"/>
        <w:jc w:val="center"/>
        <w:textAlignment w:val="auto"/>
        <w:outlineLvl w:val="0"/>
        <w:rPr>
          <w:rFonts w:ascii="方正黑体_GBK" w:eastAsia="方正黑体_GBK" w:hAnsi="方正黑体_GBK" w:cs="方正黑体_GBK"/>
          <w:kern w:val="2"/>
        </w:rPr>
      </w:pPr>
      <w:r>
        <w:rPr>
          <w:rFonts w:ascii="方正黑体_GBK" w:eastAsia="方正黑体_GBK" w:hAnsi="方正黑体_GBK" w:cs="方正黑体_GBK" w:hint="eastAsia"/>
          <w:kern w:val="2"/>
        </w:rPr>
        <w:t xml:space="preserve"> 项目申报</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企业（单位）按要求编制申报材料，对申报材料的</w:t>
      </w:r>
      <w:r>
        <w:rPr>
          <w:rFonts w:ascii="方正仿宋_GBK" w:hAnsi="方正仿宋_GBK" w:cs="方正仿宋_GBK" w:hint="eastAsia"/>
          <w:kern w:val="2"/>
        </w:rPr>
        <w:lastRenderedPageBreak/>
        <w:t>完整性、真实性负责，报所在区县（自治县）粮食行政管理部门审核。区县（自治县）粮食行政管理部门要切实加强项目前期审核工作，科学选项立项，特别是要重点加强对项目申报单位自筹资金能力的审查，并汇总辖区内项目报市粮食局。</w:t>
      </w:r>
    </w:p>
    <w:p w:rsidR="00A84373" w:rsidRDefault="00A84373" w:rsidP="00757AB2">
      <w:pPr>
        <w:numPr>
          <w:ilvl w:val="0"/>
          <w:numId w:val="2"/>
        </w:numPr>
        <w:overflowPunct w:val="0"/>
        <w:adjustRightInd/>
        <w:spacing w:after="160" w:line="600" w:lineRule="exact"/>
        <w:ind w:firstLineChars="200" w:firstLine="616"/>
        <w:textAlignment w:val="auto"/>
        <w:rPr>
          <w:rFonts w:ascii="方正仿宋_GBK" w:hAnsi="方正仿宋_GBK" w:cs="方正仿宋_GBK"/>
          <w:spacing w:val="-6"/>
          <w:kern w:val="2"/>
        </w:rPr>
      </w:pPr>
      <w:r>
        <w:rPr>
          <w:rFonts w:ascii="方正仿宋_GBK" w:hAnsi="方正仿宋_GBK" w:cs="方正仿宋_GBK" w:hint="eastAsia"/>
          <w:spacing w:val="-6"/>
          <w:kern w:val="2"/>
        </w:rPr>
        <w:t>市粮食局会同市财政局组织优质粮食工程项目评审组，对各区县（自治县）上报的总体建设方案及项目申报材料进行评审。采取年度申报、竞争择优的方式确定实施项目。</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市粮食局结合评审组意见下达项目计划，一经下发，原则上不得更改。</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区县（自治县）粮食行政管理部门将项目实施方案按程序向市粮食局进行备案。</w:t>
      </w:r>
    </w:p>
    <w:p w:rsidR="00A84373" w:rsidRDefault="00A84373" w:rsidP="00757AB2">
      <w:pPr>
        <w:numPr>
          <w:ilvl w:val="255"/>
          <w:numId w:val="0"/>
        </w:numPr>
        <w:tabs>
          <w:tab w:val="left" w:pos="0"/>
        </w:tabs>
        <w:overflowPunct w:val="0"/>
        <w:adjustRightInd/>
        <w:spacing w:line="600" w:lineRule="exact"/>
        <w:ind w:leftChars="200" w:left="640"/>
        <w:textAlignment w:val="auto"/>
        <w:rPr>
          <w:rFonts w:ascii="方正仿宋_GBK" w:hAnsi="方正仿宋_GBK" w:cs="方正仿宋_GBK"/>
          <w:kern w:val="2"/>
        </w:rPr>
      </w:pPr>
    </w:p>
    <w:p w:rsidR="00A84373" w:rsidRDefault="00A84373" w:rsidP="00757AB2">
      <w:pPr>
        <w:numPr>
          <w:ilvl w:val="0"/>
          <w:numId w:val="1"/>
        </w:numPr>
        <w:overflowPunct w:val="0"/>
        <w:adjustRightInd/>
        <w:spacing w:after="160" w:line="600" w:lineRule="exact"/>
        <w:jc w:val="center"/>
        <w:textAlignment w:val="auto"/>
        <w:outlineLvl w:val="0"/>
        <w:rPr>
          <w:rFonts w:ascii="方正黑体_GBK" w:eastAsia="方正黑体_GBK" w:hAnsi="方正黑体_GBK" w:cs="方正黑体_GBK"/>
          <w:kern w:val="2"/>
        </w:rPr>
      </w:pPr>
      <w:r>
        <w:rPr>
          <w:rFonts w:ascii="方正黑体_GBK" w:eastAsia="方正黑体_GBK" w:hAnsi="方正黑体_GBK" w:cs="方正黑体_GBK" w:hint="eastAsia"/>
          <w:kern w:val="2"/>
        </w:rPr>
        <w:t xml:space="preserve"> 项目实施</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实施企业（单位）应按项目类型依法办理建设相关手续，按照相关法律法规开展建设工作。严格按项目备案实施方案、国家和市级优质粮食工程有关文件要求实施，并</w:t>
      </w:r>
      <w:r>
        <w:rPr>
          <w:rFonts w:ascii="方正仿宋_GBK" w:hAnsi="方正仿宋_GBK" w:cs="方正仿宋_GBK" w:hint="eastAsia"/>
          <w:spacing w:val="2"/>
          <w:kern w:val="2"/>
        </w:rPr>
        <w:t>对项目质量、资金安全等承担终身责任</w:t>
      </w:r>
      <w:r>
        <w:rPr>
          <w:rFonts w:ascii="方正仿宋_GBK" w:hAnsi="方正仿宋_GBK" w:cs="方正仿宋_GBK" w:hint="eastAsia"/>
          <w:kern w:val="2"/>
        </w:rPr>
        <w:t>。实施企业（单位）足额落实项</w:t>
      </w:r>
      <w:r>
        <w:rPr>
          <w:rFonts w:ascii="方正仿宋_GBK" w:hAnsi="方正仿宋_GBK" w:cs="方正仿宋_GBK" w:hint="eastAsia"/>
          <w:kern w:val="2"/>
        </w:rPr>
        <w:lastRenderedPageBreak/>
        <w:t>目资金，加强项目和资金管理，确保项目按期完工，项目建设期不得超过</w:t>
      </w:r>
      <w:r>
        <w:rPr>
          <w:rFonts w:cs="方正仿宋_GBK" w:hint="eastAsia"/>
          <w:kern w:val="2"/>
        </w:rPr>
        <w:t>2</w:t>
      </w:r>
      <w:r>
        <w:rPr>
          <w:rFonts w:ascii="方正仿宋_GBK" w:hAnsi="方正仿宋_GBK" w:cs="方正仿宋_GBK" w:hint="eastAsia"/>
          <w:kern w:val="2"/>
        </w:rPr>
        <w:t>年。</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市粮食局不定期开展优质粮食工程项目调度，区县（自治县）粮食行政管理部门负责跟踪项目实施情况，实施企业（单位）按要求如实报送项目实施进度。</w:t>
      </w:r>
    </w:p>
    <w:p w:rsidR="0096732E" w:rsidRDefault="00A84373">
      <w:pPr>
        <w:numPr>
          <w:ilvl w:val="0"/>
          <w:numId w:val="2"/>
        </w:numPr>
        <w:tabs>
          <w:tab w:val="left" w:pos="2268"/>
        </w:tabs>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项目确需进行变更的，由实施企业（单位）提出，报区县（自治县）粮食行政管理部门进行审核或审批。项目建设地点、实施主体、投资规模及主要建设内容等重大变更需由区县（自治县）粮食行政管理部门审核后报市粮食局审批。项目实施企业（单位）未经市粮食局批复随意进行重大项目变更的，视为违规使用专项资金。</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实施企业（单位）根据项目类型及时完善、收集项目全过程资料，形成完整、规范的档案，以备检查和验收。</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项目受不可抗力因素影响无法继续实施，实施企业（单位）应及时提出书面申请，逐级报批，经市粮食局批复同意后终止实施。</w:t>
      </w:r>
    </w:p>
    <w:p w:rsidR="00A84373" w:rsidRDefault="00A84373" w:rsidP="00757AB2">
      <w:pPr>
        <w:numPr>
          <w:ilvl w:val="0"/>
          <w:numId w:val="1"/>
        </w:numPr>
        <w:overflowPunct w:val="0"/>
        <w:adjustRightInd/>
        <w:spacing w:after="160" w:line="600" w:lineRule="exact"/>
        <w:jc w:val="center"/>
        <w:textAlignment w:val="auto"/>
        <w:outlineLvl w:val="0"/>
        <w:rPr>
          <w:rFonts w:ascii="方正黑体_GBK" w:eastAsia="方正黑体_GBK" w:hAnsi="方正黑体_GBK" w:cs="方正黑体_GBK"/>
          <w:kern w:val="2"/>
        </w:rPr>
      </w:pPr>
      <w:r>
        <w:rPr>
          <w:rFonts w:ascii="方正黑体_GBK" w:eastAsia="方正黑体_GBK" w:hAnsi="方正黑体_GBK" w:cs="方正黑体_GBK" w:hint="eastAsia"/>
          <w:kern w:val="2"/>
        </w:rPr>
        <w:t xml:space="preserve"> 项目验收</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lastRenderedPageBreak/>
        <w:t>包括但不限于市级优质粮食工程申报通知、项目申报文件、市级下达的项目及资金计划、第三方审计报告等相关文件（原件或复印件）。</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主要采取“企业（单位）申请+区县（自治县）验收+市级抽查”相结合的方式进行绩效评价及验收。</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实施企业（单位）完成项目竣工验收后，按备案实施方案、市级下达的项目计划以及《重庆市优质粮食工程绩效评价综合评分表》（详见附件）等，逐项对照自查，形成自查报告。报区县（自治县）粮食行政管理部门，申请开展绩效评价及验收。</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区县（自治县）粮食行政管理部门会同财政部门组织对项目开展第三方审计，并结合项目验收依据等相关材料进行绩效评价及验收。区县（自治县）粮食行政管理部门和财政部门及时将验收中发现的问题反馈至实施企业（单位），责令限期整改。项目实施企业（单位）限期整改到位，再次申请组织验收。验收结束后，区县（自治县）粮食行政管理部门形成报告报市粮食局、市财政局。验收合格结果作为专项资金拨付依据。</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市粮食局会同市财政局在区县（自治县）绩效</w:t>
      </w:r>
      <w:r>
        <w:rPr>
          <w:rFonts w:ascii="方正仿宋_GBK" w:hAnsi="方正仿宋_GBK" w:cs="方正仿宋_GBK" w:hint="eastAsia"/>
          <w:kern w:val="2"/>
        </w:rPr>
        <w:lastRenderedPageBreak/>
        <w:t>评价及验收的基础上可组织市级抽查。</w:t>
      </w:r>
    </w:p>
    <w:p w:rsidR="00A84373" w:rsidRDefault="00A84373" w:rsidP="00757AB2">
      <w:pPr>
        <w:numPr>
          <w:ilvl w:val="12"/>
          <w:numId w:val="0"/>
        </w:numPr>
        <w:tabs>
          <w:tab w:val="left" w:pos="0"/>
        </w:tabs>
        <w:overflowPunct w:val="0"/>
        <w:adjustRightInd/>
        <w:spacing w:line="600" w:lineRule="exact"/>
        <w:ind w:leftChars="200" w:left="640"/>
        <w:textAlignment w:val="auto"/>
        <w:rPr>
          <w:rFonts w:ascii="方正仿宋_GBK" w:hAnsi="方正仿宋_GBK" w:cs="方正仿宋_GBK"/>
          <w:kern w:val="2"/>
        </w:rPr>
      </w:pPr>
    </w:p>
    <w:p w:rsidR="00A84373" w:rsidRDefault="00A84373" w:rsidP="00757AB2">
      <w:pPr>
        <w:numPr>
          <w:ilvl w:val="0"/>
          <w:numId w:val="1"/>
        </w:numPr>
        <w:overflowPunct w:val="0"/>
        <w:adjustRightInd/>
        <w:spacing w:after="160" w:line="600" w:lineRule="exact"/>
        <w:jc w:val="center"/>
        <w:textAlignment w:val="auto"/>
        <w:outlineLvl w:val="0"/>
        <w:rPr>
          <w:rFonts w:ascii="方正黑体_GBK" w:eastAsia="方正黑体_GBK" w:hAnsi="方正黑体_GBK" w:cs="方正黑体_GBK"/>
          <w:kern w:val="2"/>
        </w:rPr>
      </w:pPr>
      <w:r>
        <w:rPr>
          <w:rFonts w:ascii="方正黑体_GBK" w:eastAsia="方正黑体_GBK" w:hAnsi="方正黑体_GBK" w:cs="方正黑体_GBK" w:hint="eastAsia"/>
          <w:kern w:val="2"/>
        </w:rPr>
        <w:t>资金管理</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坚持市场主导、财政引导。补助比例原则上不高于核算后项目投资总额的</w:t>
      </w:r>
      <w:r>
        <w:rPr>
          <w:rFonts w:cs="方正仿宋_GBK" w:hint="eastAsia"/>
          <w:kern w:val="2"/>
        </w:rPr>
        <w:t>30%</w:t>
      </w:r>
      <w:r>
        <w:rPr>
          <w:rFonts w:ascii="方正仿宋_GBK" w:hAnsi="方正仿宋_GBK" w:cs="方正仿宋_GBK" w:hint="eastAsia"/>
          <w:kern w:val="2"/>
        </w:rPr>
        <w:t>，对国家乡村振兴重点帮扶县可以适当倾斜支持。对已获得其他同类型财政性资金支持的项目，专项资金原则上不再支持。鼓励区县（自治县）制定财政补助政策，与市级专项补助资金叠加补助总额不得高于项目实际投资，并由区县财政部门进行管理和拨付。</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项目实施单位自行筹集建设所需全部资金并组织实施，验收合格后，区县（自治县）财政部门将财政补助资金一次性拨付给项目实施企业（单位）。</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实施企业（单位）应按照国家财务、会计制度的有关规定进行账务处理，严格按照规定使用专项资金，并自觉接受监督检查。</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粮食行政管理部门和财政部门要对专项资金实施全过程绩效管理，按照“谁使用、谁负责”的原则将项目预算</w:t>
      </w:r>
      <w:r>
        <w:rPr>
          <w:rFonts w:ascii="方正仿宋_GBK" w:hAnsi="方正仿宋_GBK" w:cs="方正仿宋_GBK" w:hint="eastAsia"/>
          <w:kern w:val="2"/>
        </w:rPr>
        <w:lastRenderedPageBreak/>
        <w:t>绩效职责落实到资金使用终端。</w:t>
      </w:r>
    </w:p>
    <w:p w:rsidR="00A84373" w:rsidRDefault="00A84373" w:rsidP="00757AB2">
      <w:pPr>
        <w:overflowPunct w:val="0"/>
        <w:adjustRightInd/>
        <w:spacing w:line="600" w:lineRule="exact"/>
        <w:ind w:firstLineChars="200" w:firstLine="640"/>
        <w:textAlignment w:val="auto"/>
        <w:rPr>
          <w:rFonts w:ascii="方正仿宋_GBK" w:hAnsi="方正仿宋_GBK" w:cs="方正仿宋_GBK"/>
          <w:kern w:val="2"/>
        </w:rPr>
      </w:pPr>
    </w:p>
    <w:p w:rsidR="00A84373" w:rsidRDefault="00A84373" w:rsidP="00757AB2">
      <w:pPr>
        <w:numPr>
          <w:ilvl w:val="0"/>
          <w:numId w:val="1"/>
        </w:numPr>
        <w:overflowPunct w:val="0"/>
        <w:adjustRightInd/>
        <w:spacing w:after="160" w:line="600" w:lineRule="exact"/>
        <w:jc w:val="center"/>
        <w:textAlignment w:val="auto"/>
        <w:outlineLvl w:val="0"/>
        <w:rPr>
          <w:rFonts w:ascii="方正黑体_GBK" w:eastAsia="方正黑体_GBK" w:hAnsi="方正黑体_GBK" w:cs="方正黑体_GBK"/>
          <w:kern w:val="2"/>
        </w:rPr>
      </w:pPr>
      <w:r>
        <w:rPr>
          <w:rFonts w:ascii="方正黑体_GBK" w:eastAsia="方正黑体_GBK" w:hAnsi="方正黑体_GBK" w:cs="方正黑体_GBK" w:hint="eastAsia"/>
          <w:kern w:val="2"/>
        </w:rPr>
        <w:t xml:space="preserve"> 监督检查</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项目完成评审后由市粮食局进行公示，区县粮食行政管理部门加强对实施项目督导。实施企业（单位）严禁擅自进行项目变更，定期开展自查工作，发现问题及时协调解决，如期保质保量完工投用。</w:t>
      </w:r>
    </w:p>
    <w:p w:rsidR="00A84373" w:rsidRDefault="00A84373" w:rsidP="00757AB2">
      <w:pPr>
        <w:numPr>
          <w:ilvl w:val="12"/>
          <w:numId w:val="0"/>
        </w:numPr>
        <w:tabs>
          <w:tab w:val="left" w:pos="0"/>
        </w:tabs>
        <w:overflowPunct w:val="0"/>
        <w:adjustRightInd/>
        <w:spacing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实施</w:t>
      </w:r>
      <w:r>
        <w:rPr>
          <w:rFonts w:ascii="方正仿宋_GBK" w:hAnsi="方正仿宋_GBK" w:cs="方正仿宋_GBK" w:hint="eastAsia"/>
        </w:rPr>
        <w:t>企业（单位）随意进行项目变更、未专款专用、套取专项资金、限期未整改到位或再次验收仍不合格等情况，</w:t>
      </w:r>
      <w:r>
        <w:rPr>
          <w:rFonts w:ascii="方正仿宋_GBK" w:hAnsi="方正仿宋_GBK" w:cs="方正仿宋_GBK" w:hint="eastAsia"/>
          <w:kern w:val="2"/>
        </w:rPr>
        <w:t>市粮食局、市财政局根据实际情况撤销或调整项目计划，收回相应专项资金，在一定时期和范围内不再支持其参与申报优质粮食工程项目。</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t>区县财政部门加强资金监督，任何单位和个人不得以任何理由、任何形式截留、挪用、虚报、冒领专项资金，切实保障资金安全。</w:t>
      </w:r>
    </w:p>
    <w:p w:rsidR="00A84373" w:rsidRDefault="00A84373" w:rsidP="00757AB2">
      <w:pPr>
        <w:overflowPunct w:val="0"/>
        <w:adjustRightInd/>
        <w:spacing w:line="600" w:lineRule="exact"/>
        <w:ind w:firstLineChars="200" w:firstLine="640"/>
        <w:textAlignment w:val="auto"/>
        <w:rPr>
          <w:rFonts w:ascii="方正仿宋_GBK" w:hAnsi="方正仿宋_GBK" w:cs="方正仿宋_GBK"/>
          <w:kern w:val="2"/>
        </w:rPr>
      </w:pPr>
    </w:p>
    <w:p w:rsidR="00A84373" w:rsidRDefault="00A84373" w:rsidP="00757AB2">
      <w:pPr>
        <w:numPr>
          <w:ilvl w:val="0"/>
          <w:numId w:val="1"/>
        </w:numPr>
        <w:overflowPunct w:val="0"/>
        <w:adjustRightInd/>
        <w:spacing w:after="160" w:line="600" w:lineRule="exact"/>
        <w:jc w:val="center"/>
        <w:textAlignment w:val="auto"/>
        <w:outlineLvl w:val="0"/>
        <w:rPr>
          <w:rFonts w:ascii="方正黑体_GBK" w:eastAsia="方正黑体_GBK" w:hAnsi="方正黑体_GBK" w:cs="方正黑体_GBK"/>
          <w:kern w:val="2"/>
        </w:rPr>
      </w:pPr>
      <w:r>
        <w:rPr>
          <w:rFonts w:ascii="方正黑体_GBK" w:eastAsia="方正黑体_GBK" w:hAnsi="方正黑体_GBK" w:cs="方正黑体_GBK" w:hint="eastAsia"/>
          <w:kern w:val="2"/>
        </w:rPr>
        <w:t xml:space="preserve"> 附  则</w:t>
      </w:r>
    </w:p>
    <w:p w:rsidR="00A84373" w:rsidRDefault="00A84373" w:rsidP="00757AB2">
      <w:pPr>
        <w:numPr>
          <w:ilvl w:val="0"/>
          <w:numId w:val="2"/>
        </w:numPr>
        <w:overflowPunct w:val="0"/>
        <w:adjustRightInd/>
        <w:spacing w:after="160" w:line="600" w:lineRule="exact"/>
        <w:ind w:firstLineChars="200" w:firstLine="640"/>
        <w:textAlignment w:val="auto"/>
        <w:rPr>
          <w:rFonts w:ascii="方正仿宋_GBK" w:hAnsi="方正仿宋_GBK" w:cs="方正仿宋_GBK"/>
          <w:kern w:val="2"/>
        </w:rPr>
      </w:pPr>
      <w:r>
        <w:rPr>
          <w:rFonts w:ascii="方正仿宋_GBK" w:hAnsi="方正仿宋_GBK" w:cs="方正仿宋_GBK" w:hint="eastAsia"/>
          <w:kern w:val="2"/>
        </w:rPr>
        <w:lastRenderedPageBreak/>
        <w:t>本办法自印发之日起执行。</w:t>
      </w:r>
      <w:r>
        <w:rPr>
          <w:rFonts w:cs="方正仿宋_GBK" w:hint="eastAsia"/>
          <w:kern w:val="2"/>
        </w:rPr>
        <w:t>2019</w:t>
      </w:r>
      <w:r>
        <w:rPr>
          <w:rFonts w:ascii="方正仿宋_GBK" w:hAnsi="方正仿宋_GBK" w:cs="方正仿宋_GBK" w:hint="eastAsia"/>
          <w:kern w:val="2"/>
        </w:rPr>
        <w:t>年</w:t>
      </w:r>
      <w:r>
        <w:rPr>
          <w:rFonts w:cs="方正仿宋_GBK" w:hint="eastAsia"/>
          <w:kern w:val="2"/>
        </w:rPr>
        <w:t>7</w:t>
      </w:r>
      <w:r>
        <w:rPr>
          <w:rFonts w:ascii="方正仿宋_GBK" w:hAnsi="方正仿宋_GBK" w:cs="方正仿宋_GBK" w:hint="eastAsia"/>
          <w:kern w:val="2"/>
        </w:rPr>
        <w:t>月</w:t>
      </w:r>
      <w:r>
        <w:rPr>
          <w:rFonts w:cs="方正仿宋_GBK" w:hint="eastAsia"/>
          <w:kern w:val="2"/>
        </w:rPr>
        <w:t>5</w:t>
      </w:r>
      <w:r>
        <w:rPr>
          <w:rFonts w:ascii="方正仿宋_GBK" w:hAnsi="方正仿宋_GBK" w:cs="方正仿宋_GBK" w:hint="eastAsia"/>
          <w:kern w:val="2"/>
        </w:rPr>
        <w:t>日重庆市发展和改革委员会、重庆市财政局联合发布的《重庆市“优质粮食工程”项目管理办法（试行）》（渝发改粮食〔</w:t>
      </w:r>
      <w:r>
        <w:rPr>
          <w:rFonts w:cs="方正仿宋_GBK" w:hint="eastAsia"/>
          <w:kern w:val="2"/>
        </w:rPr>
        <w:t>2019</w:t>
      </w:r>
      <w:r>
        <w:rPr>
          <w:rFonts w:ascii="方正仿宋_GBK" w:hAnsi="方正仿宋_GBK" w:cs="方正仿宋_GBK" w:hint="eastAsia"/>
          <w:kern w:val="2"/>
        </w:rPr>
        <w:t>〕</w:t>
      </w:r>
      <w:r>
        <w:rPr>
          <w:rFonts w:cs="方正仿宋_GBK" w:hint="eastAsia"/>
          <w:kern w:val="2"/>
        </w:rPr>
        <w:t>827</w:t>
      </w:r>
      <w:r>
        <w:rPr>
          <w:rFonts w:ascii="方正仿宋_GBK" w:hAnsi="方正仿宋_GBK" w:cs="方正仿宋_GBK" w:hint="eastAsia"/>
          <w:kern w:val="2"/>
        </w:rPr>
        <w:t>号）同时废止。</w:t>
      </w:r>
    </w:p>
    <w:p w:rsidR="00A84373" w:rsidRDefault="00A84373" w:rsidP="00757AB2">
      <w:pPr>
        <w:overflowPunct w:val="0"/>
        <w:adjustRightInd/>
        <w:spacing w:line="600" w:lineRule="exact"/>
        <w:ind w:firstLineChars="200" w:firstLine="640"/>
        <w:textAlignment w:val="auto"/>
        <w:rPr>
          <w:rFonts w:ascii="方正仿宋_GBK" w:hAnsi="方正仿宋_GBK" w:cs="方正仿宋_GBK"/>
          <w:bCs/>
          <w:kern w:val="2"/>
        </w:rPr>
      </w:pPr>
    </w:p>
    <w:p w:rsidR="000C1228" w:rsidRDefault="00A84373" w:rsidP="00757AB2">
      <w:pPr>
        <w:tabs>
          <w:tab w:val="left" w:pos="1745"/>
        </w:tabs>
        <w:overflowPunct w:val="0"/>
        <w:adjustRightInd/>
        <w:spacing w:line="600" w:lineRule="exact"/>
        <w:textAlignment w:val="auto"/>
        <w:rPr>
          <w:rFonts w:cs="方正仿宋_GBK"/>
          <w:color w:val="0C0C0C"/>
          <w:kern w:val="2"/>
        </w:rPr>
      </w:pPr>
      <w:r>
        <w:rPr>
          <w:rFonts w:ascii="方正仿宋_GBK" w:hAnsi="方正仿宋_GBK" w:cs="方正仿宋_GBK" w:hint="eastAsia"/>
          <w:bCs/>
          <w:kern w:val="2"/>
        </w:rPr>
        <w:t>附件：重庆市优质粮食工程绩效评价综合评分表</w:t>
      </w:r>
    </w:p>
    <w:p w:rsidR="000C1228" w:rsidRDefault="000C1228">
      <w:pPr>
        <w:pStyle w:val="a0"/>
        <w:spacing w:line="600" w:lineRule="exact"/>
      </w:pPr>
    </w:p>
    <w:p w:rsidR="000C1228" w:rsidRDefault="000C1228">
      <w:pPr>
        <w:pStyle w:val="a0"/>
        <w:spacing w:line="600" w:lineRule="exact"/>
      </w:pPr>
    </w:p>
    <w:p w:rsidR="000C1228" w:rsidRDefault="000C1228">
      <w:pPr>
        <w:pStyle w:val="a0"/>
        <w:sectPr w:rsidR="000C1228">
          <w:headerReference w:type="default" r:id="rId8"/>
          <w:footerReference w:type="default" r:id="rId9"/>
          <w:pgSz w:w="11906" w:h="16838"/>
          <w:pgMar w:top="1962" w:right="1474" w:bottom="1848" w:left="1587" w:header="851" w:footer="992" w:gutter="0"/>
          <w:pgNumType w:fmt="numberInDash"/>
          <w:cols w:space="720"/>
          <w:docGrid w:type="lines" w:linePitch="312"/>
        </w:sectPr>
      </w:pPr>
    </w:p>
    <w:p w:rsidR="000C1228" w:rsidRDefault="000C1228">
      <w:pPr>
        <w:tabs>
          <w:tab w:val="left" w:pos="1745"/>
        </w:tabs>
        <w:overflowPunct w:val="0"/>
        <w:adjustRightInd/>
        <w:spacing w:line="240" w:lineRule="auto"/>
        <w:textAlignment w:val="auto"/>
        <w:rPr>
          <w:rFonts w:eastAsia="方正黑体_GBK"/>
          <w:color w:val="0C0C0C"/>
        </w:rPr>
      </w:pPr>
    </w:p>
    <w:p w:rsidR="00A84373" w:rsidRDefault="00A84373" w:rsidP="00A84373">
      <w:pPr>
        <w:overflowPunct w:val="0"/>
        <w:adjustRightInd/>
        <w:spacing w:line="240" w:lineRule="auto"/>
        <w:rPr>
          <w:rFonts w:eastAsia="方正黑体_GBK"/>
          <w:bCs/>
        </w:rPr>
      </w:pPr>
      <w:r>
        <w:rPr>
          <w:rFonts w:eastAsia="方正黑体_GBK"/>
          <w:bCs/>
        </w:rPr>
        <w:t>附件</w:t>
      </w:r>
    </w:p>
    <w:p w:rsidR="00A84373" w:rsidRDefault="00A84373" w:rsidP="00A84373">
      <w:pPr>
        <w:overflowPunct w:val="0"/>
        <w:adjustRightInd/>
        <w:spacing w:line="580" w:lineRule="exact"/>
        <w:jc w:val="center"/>
        <w:outlineLvl w:val="0"/>
        <w:rPr>
          <w:bCs/>
        </w:rPr>
      </w:pPr>
      <w:r>
        <w:rPr>
          <w:rFonts w:eastAsia="方正小标宋_GBK"/>
          <w:sz w:val="44"/>
          <w:szCs w:val="44"/>
        </w:rPr>
        <w:t>重庆市优质粮食工程绩效评价综合评分表</w:t>
      </w:r>
    </w:p>
    <w:p w:rsidR="00A84373" w:rsidRDefault="00A84373" w:rsidP="00A84373">
      <w:pPr>
        <w:overflowPunct w:val="0"/>
        <w:adjustRightInd/>
        <w:spacing w:line="240" w:lineRule="auto"/>
        <w:rPr>
          <w:bCs/>
        </w:rPr>
      </w:pPr>
    </w:p>
    <w:tbl>
      <w:tblPr>
        <w:tblW w:w="15531" w:type="dxa"/>
        <w:jc w:val="center"/>
        <w:tblLayout w:type="fixed"/>
        <w:tblCellMar>
          <w:left w:w="28" w:type="dxa"/>
          <w:right w:w="28" w:type="dxa"/>
        </w:tblCellMar>
        <w:tblLook w:val="04A0"/>
      </w:tblPr>
      <w:tblGrid>
        <w:gridCol w:w="709"/>
        <w:gridCol w:w="679"/>
        <w:gridCol w:w="712"/>
        <w:gridCol w:w="572"/>
        <w:gridCol w:w="1242"/>
        <w:gridCol w:w="654"/>
        <w:gridCol w:w="2673"/>
        <w:gridCol w:w="7690"/>
        <w:gridCol w:w="600"/>
      </w:tblGrid>
      <w:tr w:rsidR="00A84373" w:rsidTr="00595334">
        <w:trPr>
          <w:trHeight w:val="740"/>
          <w:tblHeader/>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rFonts w:eastAsia="方正黑体_GBK"/>
                <w:sz w:val="24"/>
                <w:szCs w:val="24"/>
              </w:rPr>
            </w:pPr>
            <w:r>
              <w:rPr>
                <w:rFonts w:eastAsia="方正黑体_GBK"/>
                <w:sz w:val="24"/>
                <w:szCs w:val="24"/>
              </w:rPr>
              <w:t>一级</w:t>
            </w:r>
          </w:p>
          <w:p w:rsidR="00A84373" w:rsidRDefault="00A84373" w:rsidP="00595334">
            <w:pPr>
              <w:overflowPunct w:val="0"/>
              <w:adjustRightInd/>
              <w:spacing w:line="300" w:lineRule="exact"/>
              <w:jc w:val="center"/>
              <w:textAlignment w:val="center"/>
              <w:rPr>
                <w:rFonts w:eastAsia="方正黑体_GBK"/>
                <w:sz w:val="24"/>
                <w:szCs w:val="24"/>
              </w:rPr>
            </w:pPr>
            <w:r>
              <w:rPr>
                <w:rFonts w:eastAsia="方正黑体_GBK"/>
                <w:sz w:val="24"/>
                <w:szCs w:val="24"/>
              </w:rPr>
              <w:t>指标</w:t>
            </w:r>
          </w:p>
        </w:tc>
        <w:tc>
          <w:tcPr>
            <w:tcW w:w="679"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rFonts w:eastAsia="方正黑体_GBK"/>
                <w:sz w:val="24"/>
                <w:szCs w:val="24"/>
              </w:rPr>
            </w:pPr>
            <w:r>
              <w:rPr>
                <w:rFonts w:eastAsia="方正黑体_GBK"/>
                <w:sz w:val="24"/>
                <w:szCs w:val="24"/>
              </w:rPr>
              <w:t>分值</w:t>
            </w:r>
          </w:p>
        </w:tc>
        <w:tc>
          <w:tcPr>
            <w:tcW w:w="71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rFonts w:eastAsia="方正黑体_GBK"/>
                <w:sz w:val="24"/>
                <w:szCs w:val="24"/>
              </w:rPr>
            </w:pPr>
            <w:r>
              <w:rPr>
                <w:rFonts w:eastAsia="方正黑体_GBK"/>
                <w:sz w:val="24"/>
                <w:szCs w:val="24"/>
              </w:rPr>
              <w:t>二级</w:t>
            </w:r>
          </w:p>
          <w:p w:rsidR="00A84373" w:rsidRDefault="00A84373" w:rsidP="00595334">
            <w:pPr>
              <w:overflowPunct w:val="0"/>
              <w:adjustRightInd/>
              <w:spacing w:line="300" w:lineRule="exact"/>
              <w:jc w:val="center"/>
              <w:textAlignment w:val="center"/>
              <w:rPr>
                <w:rFonts w:eastAsia="方正黑体_GBK"/>
                <w:sz w:val="24"/>
                <w:szCs w:val="24"/>
              </w:rPr>
            </w:pPr>
            <w:r>
              <w:rPr>
                <w:rFonts w:eastAsia="方正黑体_GBK"/>
                <w:sz w:val="24"/>
                <w:szCs w:val="24"/>
              </w:rPr>
              <w:t>指标</w:t>
            </w:r>
          </w:p>
        </w:tc>
        <w:tc>
          <w:tcPr>
            <w:tcW w:w="57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rFonts w:eastAsia="方正黑体_GBK"/>
                <w:sz w:val="24"/>
                <w:szCs w:val="24"/>
              </w:rPr>
            </w:pPr>
            <w:r>
              <w:rPr>
                <w:rFonts w:eastAsia="方正黑体_GBK"/>
                <w:sz w:val="24"/>
                <w:szCs w:val="24"/>
              </w:rPr>
              <w:t>分值</w:t>
            </w: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rFonts w:eastAsia="方正黑体_GBK"/>
                <w:sz w:val="24"/>
                <w:szCs w:val="24"/>
              </w:rPr>
            </w:pPr>
            <w:r>
              <w:rPr>
                <w:rFonts w:eastAsia="方正黑体_GBK"/>
                <w:sz w:val="24"/>
                <w:szCs w:val="24"/>
              </w:rPr>
              <w:t>三级指标</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rFonts w:eastAsia="方正黑体_GBK"/>
                <w:sz w:val="24"/>
                <w:szCs w:val="24"/>
              </w:rPr>
            </w:pPr>
            <w:r>
              <w:rPr>
                <w:rFonts w:eastAsia="方正黑体_GBK"/>
                <w:sz w:val="24"/>
                <w:szCs w:val="24"/>
              </w:rPr>
              <w:t>分值</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rFonts w:eastAsia="方正黑体_GBK"/>
                <w:sz w:val="24"/>
                <w:szCs w:val="24"/>
              </w:rPr>
            </w:pPr>
            <w:r>
              <w:rPr>
                <w:rFonts w:eastAsia="方正黑体_GBK"/>
                <w:sz w:val="24"/>
                <w:szCs w:val="24"/>
              </w:rPr>
              <w:t>指标解释</w:t>
            </w:r>
          </w:p>
        </w:tc>
        <w:tc>
          <w:tcPr>
            <w:tcW w:w="769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rFonts w:eastAsia="方正黑体_GBK"/>
                <w:sz w:val="24"/>
                <w:szCs w:val="24"/>
              </w:rPr>
            </w:pPr>
            <w:r>
              <w:rPr>
                <w:rFonts w:eastAsia="方正黑体_GBK"/>
                <w:sz w:val="24"/>
                <w:szCs w:val="24"/>
              </w:rPr>
              <w:t>评分标准</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rFonts w:eastAsia="方正黑体_GBK"/>
                <w:sz w:val="24"/>
                <w:szCs w:val="24"/>
              </w:rPr>
            </w:pPr>
            <w:r>
              <w:rPr>
                <w:rFonts w:eastAsia="方正黑体_GBK"/>
                <w:sz w:val="24"/>
                <w:szCs w:val="24"/>
              </w:rPr>
              <w:t>得分</w:t>
            </w:r>
          </w:p>
        </w:tc>
      </w:tr>
      <w:tr w:rsidR="00A84373" w:rsidTr="00595334">
        <w:trPr>
          <w:trHeight w:val="23"/>
          <w:jc w:val="center"/>
        </w:trPr>
        <w:tc>
          <w:tcPr>
            <w:tcW w:w="709"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项目决策</w:t>
            </w:r>
          </w:p>
        </w:tc>
        <w:tc>
          <w:tcPr>
            <w:tcW w:w="679"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10</w:t>
            </w:r>
          </w:p>
        </w:tc>
        <w:tc>
          <w:tcPr>
            <w:tcW w:w="712"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项目筹备</w:t>
            </w:r>
          </w:p>
        </w:tc>
        <w:tc>
          <w:tcPr>
            <w:tcW w:w="572"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10</w:t>
            </w: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方案制定</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5</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企业是否制定该项目具体实施方案</w:t>
            </w:r>
          </w:p>
        </w:tc>
        <w:tc>
          <w:tcPr>
            <w:tcW w:w="769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是否制定具体方案（</w:t>
            </w:r>
            <w:r>
              <w:rPr>
                <w:sz w:val="24"/>
                <w:szCs w:val="24"/>
              </w:rPr>
              <w:t>0-5</w:t>
            </w:r>
            <w:r>
              <w:rPr>
                <w:sz w:val="24"/>
                <w:szCs w:val="24"/>
              </w:rPr>
              <w:t>分）。</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23"/>
          <w:jc w:val="center"/>
        </w:trPr>
        <w:tc>
          <w:tcPr>
            <w:tcW w:w="70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67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71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57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组织机构</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5</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企业是否成立相应的组织领导机构</w:t>
            </w:r>
          </w:p>
        </w:tc>
        <w:tc>
          <w:tcPr>
            <w:tcW w:w="769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是否成立相应组织机构（</w:t>
            </w:r>
            <w:r>
              <w:rPr>
                <w:sz w:val="24"/>
                <w:szCs w:val="24"/>
              </w:rPr>
              <w:t>0-5</w:t>
            </w:r>
            <w:r>
              <w:rPr>
                <w:sz w:val="24"/>
                <w:szCs w:val="24"/>
              </w:rPr>
              <w:t>分）。</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764"/>
          <w:jc w:val="center"/>
        </w:trPr>
        <w:tc>
          <w:tcPr>
            <w:tcW w:w="709"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项目管理</w:t>
            </w:r>
          </w:p>
        </w:tc>
        <w:tc>
          <w:tcPr>
            <w:tcW w:w="679"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30</w:t>
            </w:r>
          </w:p>
        </w:tc>
        <w:tc>
          <w:tcPr>
            <w:tcW w:w="712"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项目实施</w:t>
            </w:r>
          </w:p>
        </w:tc>
        <w:tc>
          <w:tcPr>
            <w:tcW w:w="572"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15</w:t>
            </w: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合同管理</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2</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是否按照合同管理制度开展项目</w:t>
            </w:r>
          </w:p>
        </w:tc>
        <w:tc>
          <w:tcPr>
            <w:tcW w:w="769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与中标单位签订合同，明确责任、权利和义务，并按合同执行（</w:t>
            </w:r>
            <w:r>
              <w:rPr>
                <w:sz w:val="24"/>
                <w:szCs w:val="24"/>
              </w:rPr>
              <w:t>0-2</w:t>
            </w:r>
            <w:r>
              <w:rPr>
                <w:sz w:val="24"/>
                <w:szCs w:val="24"/>
              </w:rPr>
              <w:t>分）。</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786"/>
          <w:jc w:val="center"/>
        </w:trPr>
        <w:tc>
          <w:tcPr>
            <w:tcW w:w="70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67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71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57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廉政建设</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2</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相关主体是否执行有关廉政管理制度</w:t>
            </w:r>
          </w:p>
        </w:tc>
        <w:tc>
          <w:tcPr>
            <w:tcW w:w="769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与中标单位签订廉政建设责任书（</w:t>
            </w:r>
            <w:r>
              <w:rPr>
                <w:sz w:val="24"/>
                <w:szCs w:val="24"/>
              </w:rPr>
              <w:t>2</w:t>
            </w:r>
            <w:r>
              <w:rPr>
                <w:sz w:val="24"/>
                <w:szCs w:val="24"/>
              </w:rPr>
              <w:t>分）。</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1422"/>
          <w:jc w:val="center"/>
        </w:trPr>
        <w:tc>
          <w:tcPr>
            <w:tcW w:w="70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67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71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57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项目监督考核有效性</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6</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项目实施企业对项目实施的监督考察是否执行有效</w:t>
            </w:r>
          </w:p>
        </w:tc>
        <w:tc>
          <w:tcPr>
            <w:tcW w:w="769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1.</w:t>
            </w:r>
            <w:r>
              <w:rPr>
                <w:sz w:val="24"/>
                <w:szCs w:val="24"/>
              </w:rPr>
              <w:t>若项目在建设中出现项目建设进展缓慢并被市级部门通报（含会议通报），出现</w:t>
            </w:r>
            <w:r>
              <w:rPr>
                <w:sz w:val="24"/>
                <w:szCs w:val="24"/>
              </w:rPr>
              <w:t>2</w:t>
            </w:r>
            <w:r>
              <w:rPr>
                <w:sz w:val="24"/>
                <w:szCs w:val="24"/>
              </w:rPr>
              <w:t>次（含本数）以下扣</w:t>
            </w:r>
            <w:r>
              <w:rPr>
                <w:sz w:val="24"/>
                <w:szCs w:val="24"/>
              </w:rPr>
              <w:t>2</w:t>
            </w:r>
            <w:r>
              <w:rPr>
                <w:sz w:val="24"/>
                <w:szCs w:val="24"/>
              </w:rPr>
              <w:t>分；</w:t>
            </w:r>
            <w:r>
              <w:rPr>
                <w:sz w:val="24"/>
                <w:szCs w:val="24"/>
              </w:rPr>
              <w:t>3</w:t>
            </w:r>
            <w:r>
              <w:rPr>
                <w:sz w:val="24"/>
                <w:szCs w:val="24"/>
              </w:rPr>
              <w:t>次（含本数）以上扣</w:t>
            </w:r>
            <w:r>
              <w:rPr>
                <w:sz w:val="24"/>
                <w:szCs w:val="24"/>
              </w:rPr>
              <w:t>3</w:t>
            </w:r>
            <w:r>
              <w:rPr>
                <w:sz w:val="24"/>
                <w:szCs w:val="24"/>
              </w:rPr>
              <w:t>分；</w:t>
            </w:r>
            <w:r>
              <w:rPr>
                <w:sz w:val="24"/>
                <w:szCs w:val="24"/>
              </w:rPr>
              <w:br/>
              <w:t>2.</w:t>
            </w:r>
            <w:r>
              <w:rPr>
                <w:sz w:val="24"/>
                <w:szCs w:val="24"/>
              </w:rPr>
              <w:t>按时在优质粮食工程项目库管理系统中准确填报项目建设情况，出现</w:t>
            </w:r>
            <w:r>
              <w:rPr>
                <w:sz w:val="24"/>
                <w:szCs w:val="24"/>
              </w:rPr>
              <w:t>2</w:t>
            </w:r>
            <w:r>
              <w:rPr>
                <w:sz w:val="24"/>
                <w:szCs w:val="24"/>
              </w:rPr>
              <w:t>次（含本数）以下晚报、错报扣</w:t>
            </w:r>
            <w:r>
              <w:rPr>
                <w:sz w:val="24"/>
                <w:szCs w:val="24"/>
              </w:rPr>
              <w:t>2</w:t>
            </w:r>
            <w:r>
              <w:rPr>
                <w:sz w:val="24"/>
                <w:szCs w:val="24"/>
              </w:rPr>
              <w:t>分；</w:t>
            </w:r>
            <w:r>
              <w:rPr>
                <w:sz w:val="24"/>
                <w:szCs w:val="24"/>
              </w:rPr>
              <w:t>3</w:t>
            </w:r>
            <w:r>
              <w:rPr>
                <w:sz w:val="24"/>
                <w:szCs w:val="24"/>
              </w:rPr>
              <w:t>次（含本数）以上晚报、错报扣</w:t>
            </w:r>
            <w:r>
              <w:rPr>
                <w:sz w:val="24"/>
                <w:szCs w:val="24"/>
              </w:rPr>
              <w:t>3</w:t>
            </w:r>
            <w:r>
              <w:rPr>
                <w:sz w:val="24"/>
                <w:szCs w:val="24"/>
              </w:rPr>
              <w:t>分。</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1225"/>
          <w:jc w:val="center"/>
        </w:trPr>
        <w:tc>
          <w:tcPr>
            <w:tcW w:w="70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67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71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57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项目档案管理规范性</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5</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相关主体是否执行有关档案管理制度，档案管理是否按照制度规范实施</w:t>
            </w:r>
          </w:p>
        </w:tc>
        <w:tc>
          <w:tcPr>
            <w:tcW w:w="769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1.</w:t>
            </w:r>
            <w:r>
              <w:rPr>
                <w:sz w:val="24"/>
                <w:szCs w:val="24"/>
              </w:rPr>
              <w:t>相关主体是否执行有关档案管理制度（</w:t>
            </w:r>
            <w:r>
              <w:rPr>
                <w:sz w:val="24"/>
                <w:szCs w:val="24"/>
              </w:rPr>
              <w:t>0-2</w:t>
            </w:r>
            <w:r>
              <w:rPr>
                <w:sz w:val="24"/>
                <w:szCs w:val="24"/>
              </w:rPr>
              <w:t>分）；</w:t>
            </w:r>
            <w:r>
              <w:rPr>
                <w:sz w:val="24"/>
                <w:szCs w:val="24"/>
              </w:rPr>
              <w:br/>
              <w:t>2.</w:t>
            </w:r>
            <w:r>
              <w:rPr>
                <w:sz w:val="24"/>
                <w:szCs w:val="24"/>
              </w:rPr>
              <w:t>项目实施过程中，各项目档案资料收集、保存完整，整理规范（</w:t>
            </w:r>
            <w:r>
              <w:rPr>
                <w:sz w:val="24"/>
                <w:szCs w:val="24"/>
              </w:rPr>
              <w:t>0-3</w:t>
            </w:r>
            <w:r>
              <w:rPr>
                <w:sz w:val="24"/>
                <w:szCs w:val="24"/>
              </w:rPr>
              <w:t>分）。</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23"/>
          <w:jc w:val="center"/>
        </w:trPr>
        <w:tc>
          <w:tcPr>
            <w:tcW w:w="70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67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712"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资金管理</w:t>
            </w:r>
          </w:p>
        </w:tc>
        <w:tc>
          <w:tcPr>
            <w:tcW w:w="572"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15</w:t>
            </w:r>
          </w:p>
        </w:tc>
        <w:tc>
          <w:tcPr>
            <w:tcW w:w="1242"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资金使用合规性</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10</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企业规范使用资金情况</w:t>
            </w:r>
          </w:p>
        </w:tc>
        <w:tc>
          <w:tcPr>
            <w:tcW w:w="769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1.</w:t>
            </w:r>
            <w:r>
              <w:rPr>
                <w:sz w:val="24"/>
                <w:szCs w:val="24"/>
              </w:rPr>
              <w:t>企业自筹资金全部到位，并用于项目建设（</w:t>
            </w:r>
            <w:r>
              <w:rPr>
                <w:sz w:val="24"/>
                <w:szCs w:val="24"/>
              </w:rPr>
              <w:t>2</w:t>
            </w:r>
            <w:r>
              <w:rPr>
                <w:sz w:val="24"/>
                <w:szCs w:val="24"/>
              </w:rPr>
              <w:t>分）；</w:t>
            </w:r>
            <w:r>
              <w:rPr>
                <w:sz w:val="24"/>
                <w:szCs w:val="24"/>
              </w:rPr>
              <w:t xml:space="preserve">                        </w:t>
            </w:r>
            <w:r>
              <w:rPr>
                <w:sz w:val="24"/>
                <w:szCs w:val="24"/>
              </w:rPr>
              <w:br/>
            </w:r>
            <w:r>
              <w:rPr>
                <w:rFonts w:hint="eastAsia"/>
                <w:sz w:val="24"/>
                <w:szCs w:val="24"/>
              </w:rPr>
              <w:t>2</w:t>
            </w:r>
            <w:r>
              <w:rPr>
                <w:sz w:val="24"/>
                <w:szCs w:val="24"/>
              </w:rPr>
              <w:t>.</w:t>
            </w:r>
            <w:r>
              <w:rPr>
                <w:sz w:val="24"/>
                <w:szCs w:val="24"/>
              </w:rPr>
              <w:t>资金实行专账管理（</w:t>
            </w:r>
            <w:r>
              <w:rPr>
                <w:rFonts w:hint="eastAsia"/>
                <w:sz w:val="24"/>
                <w:szCs w:val="24"/>
              </w:rPr>
              <w:t>3</w:t>
            </w:r>
            <w:r>
              <w:rPr>
                <w:sz w:val="24"/>
                <w:szCs w:val="24"/>
              </w:rPr>
              <w:t>分）；</w:t>
            </w:r>
            <w:r>
              <w:rPr>
                <w:sz w:val="24"/>
                <w:szCs w:val="24"/>
              </w:rPr>
              <w:br/>
            </w:r>
            <w:r>
              <w:rPr>
                <w:rFonts w:hint="eastAsia"/>
                <w:sz w:val="24"/>
                <w:szCs w:val="24"/>
              </w:rPr>
              <w:t>3</w:t>
            </w:r>
            <w:r>
              <w:rPr>
                <w:sz w:val="24"/>
                <w:szCs w:val="24"/>
              </w:rPr>
              <w:t>.</w:t>
            </w:r>
            <w:r>
              <w:rPr>
                <w:sz w:val="24"/>
                <w:szCs w:val="24"/>
              </w:rPr>
              <w:t>企业采买设施服务符合有关规定要求，项目合同及资金收支票证符合财务规定（</w:t>
            </w:r>
            <w:r>
              <w:rPr>
                <w:rFonts w:hint="eastAsia"/>
                <w:sz w:val="24"/>
                <w:szCs w:val="24"/>
              </w:rPr>
              <w:t>3</w:t>
            </w:r>
            <w:r>
              <w:rPr>
                <w:sz w:val="24"/>
                <w:szCs w:val="24"/>
              </w:rPr>
              <w:t>分）；</w:t>
            </w:r>
            <w:r>
              <w:rPr>
                <w:sz w:val="24"/>
                <w:szCs w:val="24"/>
              </w:rPr>
              <w:t xml:space="preserve">                                            </w:t>
            </w:r>
            <w:r>
              <w:rPr>
                <w:sz w:val="24"/>
                <w:szCs w:val="24"/>
              </w:rPr>
              <w:br/>
            </w:r>
            <w:r>
              <w:rPr>
                <w:rFonts w:hint="eastAsia"/>
                <w:sz w:val="24"/>
                <w:szCs w:val="24"/>
              </w:rPr>
              <w:t>4</w:t>
            </w:r>
            <w:r>
              <w:rPr>
                <w:sz w:val="24"/>
                <w:szCs w:val="24"/>
              </w:rPr>
              <w:t>.</w:t>
            </w:r>
            <w:r>
              <w:rPr>
                <w:sz w:val="24"/>
                <w:szCs w:val="24"/>
              </w:rPr>
              <w:t>无违规挪用资金行为，未出现截留、挤占、虚列支出的情况（</w:t>
            </w:r>
            <w:r>
              <w:rPr>
                <w:sz w:val="24"/>
                <w:szCs w:val="24"/>
              </w:rPr>
              <w:t>2</w:t>
            </w:r>
            <w:r>
              <w:rPr>
                <w:sz w:val="24"/>
                <w:szCs w:val="24"/>
              </w:rPr>
              <w:t>分）。</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23"/>
          <w:jc w:val="center"/>
        </w:trPr>
        <w:tc>
          <w:tcPr>
            <w:tcW w:w="70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67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71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57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124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5</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项目审计</w:t>
            </w:r>
          </w:p>
        </w:tc>
        <w:tc>
          <w:tcPr>
            <w:tcW w:w="769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经区县粮食行政管理部门及财政部门组织的第三方审计，项目相关情况无重大问题（</w:t>
            </w:r>
            <w:r>
              <w:rPr>
                <w:sz w:val="24"/>
                <w:szCs w:val="24"/>
              </w:rPr>
              <w:t>0-5</w:t>
            </w:r>
            <w:r>
              <w:rPr>
                <w:sz w:val="24"/>
                <w:szCs w:val="24"/>
              </w:rPr>
              <w:t>分）。</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23"/>
          <w:jc w:val="center"/>
        </w:trPr>
        <w:tc>
          <w:tcPr>
            <w:tcW w:w="709"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项目产出</w:t>
            </w:r>
          </w:p>
        </w:tc>
        <w:tc>
          <w:tcPr>
            <w:tcW w:w="679"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30</w:t>
            </w:r>
          </w:p>
        </w:tc>
        <w:tc>
          <w:tcPr>
            <w:tcW w:w="712"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产出数量和质</w:t>
            </w:r>
            <w:r>
              <w:rPr>
                <w:sz w:val="24"/>
                <w:szCs w:val="24"/>
              </w:rPr>
              <w:lastRenderedPageBreak/>
              <w:t>量</w:t>
            </w:r>
          </w:p>
        </w:tc>
        <w:tc>
          <w:tcPr>
            <w:tcW w:w="572"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lastRenderedPageBreak/>
              <w:t>30</w:t>
            </w: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粮食绿色仓储提升行动</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30</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280" w:lineRule="exact"/>
              <w:textAlignment w:val="center"/>
              <w:rPr>
                <w:sz w:val="24"/>
                <w:szCs w:val="24"/>
              </w:rPr>
            </w:pPr>
            <w:r>
              <w:rPr>
                <w:sz w:val="24"/>
                <w:szCs w:val="24"/>
              </w:rPr>
              <w:t>项目建设内容是否符合粮食绿色仓储提升行动方案要求，是否按照市粮</w:t>
            </w:r>
            <w:r>
              <w:rPr>
                <w:sz w:val="24"/>
                <w:szCs w:val="24"/>
              </w:rPr>
              <w:lastRenderedPageBreak/>
              <w:t>食局下达项目计划文件内容实施建设</w:t>
            </w:r>
          </w:p>
        </w:tc>
        <w:tc>
          <w:tcPr>
            <w:tcW w:w="7690"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lastRenderedPageBreak/>
              <w:t>1.</w:t>
            </w:r>
            <w:r>
              <w:rPr>
                <w:sz w:val="24"/>
                <w:szCs w:val="24"/>
              </w:rPr>
              <w:t>项目实施内容是否符合《重庆市深入推进优质粮食工程实施方案》（渝粮规范〔</w:t>
            </w:r>
            <w:r>
              <w:rPr>
                <w:sz w:val="24"/>
                <w:szCs w:val="24"/>
              </w:rPr>
              <w:t>2022</w:t>
            </w:r>
            <w:r>
              <w:rPr>
                <w:sz w:val="24"/>
                <w:szCs w:val="24"/>
              </w:rPr>
              <w:t>〕</w:t>
            </w:r>
            <w:r>
              <w:rPr>
                <w:sz w:val="24"/>
                <w:szCs w:val="24"/>
              </w:rPr>
              <w:t>4</w:t>
            </w:r>
            <w:r>
              <w:rPr>
                <w:sz w:val="24"/>
                <w:szCs w:val="24"/>
              </w:rPr>
              <w:t>号）文件要求（</w:t>
            </w:r>
            <w:r>
              <w:rPr>
                <w:sz w:val="24"/>
                <w:szCs w:val="24"/>
              </w:rPr>
              <w:t>10</w:t>
            </w:r>
            <w:r>
              <w:rPr>
                <w:sz w:val="24"/>
                <w:szCs w:val="24"/>
              </w:rPr>
              <w:t>分）；</w:t>
            </w:r>
            <w:r>
              <w:rPr>
                <w:sz w:val="24"/>
                <w:szCs w:val="24"/>
              </w:rPr>
              <w:br/>
              <w:t>2.</w:t>
            </w:r>
            <w:r>
              <w:rPr>
                <w:sz w:val="24"/>
                <w:szCs w:val="24"/>
              </w:rPr>
              <w:t>是否完成市粮食局下达项目计划文件的全部实施内容、完工率</w:t>
            </w:r>
            <w:r>
              <w:rPr>
                <w:sz w:val="24"/>
                <w:szCs w:val="24"/>
              </w:rPr>
              <w:t>100%</w:t>
            </w:r>
            <w:r>
              <w:rPr>
                <w:sz w:val="24"/>
                <w:szCs w:val="24"/>
              </w:rPr>
              <w:t>，</w:t>
            </w:r>
            <w:r>
              <w:rPr>
                <w:sz w:val="24"/>
                <w:szCs w:val="24"/>
              </w:rPr>
              <w:lastRenderedPageBreak/>
              <w:t>并可以投入使用（</w:t>
            </w:r>
            <w:r>
              <w:rPr>
                <w:sz w:val="24"/>
                <w:szCs w:val="24"/>
              </w:rPr>
              <w:t>0-20</w:t>
            </w:r>
            <w:r>
              <w:rPr>
                <w:sz w:val="24"/>
                <w:szCs w:val="24"/>
              </w:rPr>
              <w:t>分）；</w:t>
            </w:r>
            <w:r>
              <w:rPr>
                <w:sz w:val="24"/>
                <w:szCs w:val="24"/>
              </w:rPr>
              <w:br/>
              <w:t>3.</w:t>
            </w:r>
            <w:r>
              <w:rPr>
                <w:sz w:val="24"/>
                <w:szCs w:val="24"/>
              </w:rPr>
              <w:t>项目实施周期超计划文件要求，扣</w:t>
            </w:r>
            <w:r>
              <w:rPr>
                <w:sz w:val="24"/>
                <w:szCs w:val="24"/>
              </w:rPr>
              <w:t>0-10</w:t>
            </w:r>
            <w:r>
              <w:rPr>
                <w:sz w:val="24"/>
                <w:szCs w:val="24"/>
              </w:rPr>
              <w:t>分。</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23"/>
          <w:jc w:val="center"/>
        </w:trPr>
        <w:tc>
          <w:tcPr>
            <w:tcW w:w="70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67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71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57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粮食品种品质品牌提升行动</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30</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280" w:lineRule="exact"/>
              <w:textAlignment w:val="center"/>
              <w:rPr>
                <w:sz w:val="24"/>
                <w:szCs w:val="24"/>
              </w:rPr>
            </w:pPr>
            <w:r>
              <w:rPr>
                <w:sz w:val="24"/>
                <w:szCs w:val="24"/>
              </w:rPr>
              <w:t>项目建设内容是否符合粮食品种品质品牌提升行动方案要求，是否按照市粮食局下达项目计划文件内容实施建设</w:t>
            </w:r>
          </w:p>
        </w:tc>
        <w:tc>
          <w:tcPr>
            <w:tcW w:w="7690"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rPr>
                <w:sz w:val="24"/>
                <w:szCs w:val="24"/>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23"/>
          <w:jc w:val="center"/>
        </w:trPr>
        <w:tc>
          <w:tcPr>
            <w:tcW w:w="70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67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71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57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粮食质量追溯提升行动</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30</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280" w:lineRule="exact"/>
              <w:textAlignment w:val="center"/>
              <w:rPr>
                <w:sz w:val="24"/>
                <w:szCs w:val="24"/>
              </w:rPr>
            </w:pPr>
            <w:r>
              <w:rPr>
                <w:sz w:val="24"/>
                <w:szCs w:val="24"/>
              </w:rPr>
              <w:t>项目建设内容是否符合粮食质量追溯提升行动方案要求，是否按照市粮食局下达项目计划文件内容实施建设</w:t>
            </w:r>
          </w:p>
        </w:tc>
        <w:tc>
          <w:tcPr>
            <w:tcW w:w="7690"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rPr>
                <w:sz w:val="24"/>
                <w:szCs w:val="24"/>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23"/>
          <w:jc w:val="center"/>
        </w:trPr>
        <w:tc>
          <w:tcPr>
            <w:tcW w:w="70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67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71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57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粮食机械装备提升行动</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30</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280" w:lineRule="exact"/>
              <w:textAlignment w:val="center"/>
              <w:rPr>
                <w:sz w:val="24"/>
                <w:szCs w:val="24"/>
              </w:rPr>
            </w:pPr>
            <w:r>
              <w:rPr>
                <w:sz w:val="24"/>
                <w:szCs w:val="24"/>
              </w:rPr>
              <w:t>项目建设内容是否符合粮食机械装备提升行动方案要求，是否按照市粮食局下达项目计划文件内容实施建设</w:t>
            </w:r>
          </w:p>
        </w:tc>
        <w:tc>
          <w:tcPr>
            <w:tcW w:w="7690"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rPr>
                <w:sz w:val="24"/>
                <w:szCs w:val="24"/>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1600"/>
          <w:jc w:val="center"/>
        </w:trPr>
        <w:tc>
          <w:tcPr>
            <w:tcW w:w="70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67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71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57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粮食应急保障能力提升行动</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30</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项目建设内容是否符合粮食应急保障能力提升行动建设方案要求，是否按照市粮食局下达项目计划文件内容实施建设</w:t>
            </w:r>
          </w:p>
        </w:tc>
        <w:tc>
          <w:tcPr>
            <w:tcW w:w="7690"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rPr>
                <w:sz w:val="24"/>
                <w:szCs w:val="24"/>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1580"/>
          <w:jc w:val="center"/>
        </w:trPr>
        <w:tc>
          <w:tcPr>
            <w:tcW w:w="70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67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71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57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粮食节约减损健康消费提升行动</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30</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项目建设内容是否符合粮食节约减损健康消费提升行动方案要求，是否按照市粮食局下达项目计划文件内容实施建设</w:t>
            </w:r>
          </w:p>
        </w:tc>
        <w:tc>
          <w:tcPr>
            <w:tcW w:w="7690"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rPr>
                <w:sz w:val="24"/>
                <w:szCs w:val="24"/>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990"/>
          <w:jc w:val="center"/>
        </w:trPr>
        <w:tc>
          <w:tcPr>
            <w:tcW w:w="709"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项目效果</w:t>
            </w:r>
          </w:p>
        </w:tc>
        <w:tc>
          <w:tcPr>
            <w:tcW w:w="679"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30</w:t>
            </w:r>
          </w:p>
        </w:tc>
        <w:tc>
          <w:tcPr>
            <w:tcW w:w="712"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项目效益</w:t>
            </w:r>
          </w:p>
        </w:tc>
        <w:tc>
          <w:tcPr>
            <w:tcW w:w="572" w:type="dxa"/>
            <w:vMerge w:val="restart"/>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30</w:t>
            </w: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粮食绿色仓储提升行动</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rFonts w:hint="eastAsia"/>
                <w:sz w:val="24"/>
                <w:szCs w:val="24"/>
              </w:rPr>
              <w:t>3</w:t>
            </w:r>
            <w:r>
              <w:rPr>
                <w:sz w:val="24"/>
                <w:szCs w:val="24"/>
              </w:rPr>
              <w:t>0</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储粮水平和品质保障能力提升情况</w:t>
            </w:r>
          </w:p>
        </w:tc>
        <w:tc>
          <w:tcPr>
            <w:tcW w:w="769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1.</w:t>
            </w:r>
            <w:r>
              <w:rPr>
                <w:sz w:val="24"/>
                <w:szCs w:val="24"/>
              </w:rPr>
              <w:t>切实提升储备粮质量，增加绿色优质粮油产品有效供给（</w:t>
            </w:r>
            <w:r>
              <w:rPr>
                <w:sz w:val="24"/>
                <w:szCs w:val="24"/>
              </w:rPr>
              <w:t>0-15</w:t>
            </w:r>
            <w:r>
              <w:rPr>
                <w:sz w:val="24"/>
                <w:szCs w:val="24"/>
              </w:rPr>
              <w:t>分）；</w:t>
            </w:r>
            <w:r>
              <w:rPr>
                <w:sz w:val="24"/>
                <w:szCs w:val="24"/>
              </w:rPr>
              <w:t xml:space="preserve">                      </w:t>
            </w:r>
            <w:r>
              <w:rPr>
                <w:sz w:val="24"/>
                <w:szCs w:val="24"/>
              </w:rPr>
              <w:br/>
              <w:t>2.</w:t>
            </w:r>
            <w:r>
              <w:rPr>
                <w:sz w:val="24"/>
                <w:szCs w:val="24"/>
              </w:rPr>
              <w:t>着力推动粮食储备高质量发展，更好保障国家粮食安全（</w:t>
            </w:r>
            <w:r>
              <w:rPr>
                <w:sz w:val="24"/>
                <w:szCs w:val="24"/>
              </w:rPr>
              <w:t>0-15</w:t>
            </w:r>
            <w:r>
              <w:rPr>
                <w:sz w:val="24"/>
                <w:szCs w:val="24"/>
              </w:rPr>
              <w:t>分）。</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960"/>
          <w:jc w:val="center"/>
        </w:trPr>
        <w:tc>
          <w:tcPr>
            <w:tcW w:w="70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67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71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57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粮食品种品质品牌提升行动</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30</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绿色优质粮油产品供给提升情况</w:t>
            </w:r>
          </w:p>
        </w:tc>
        <w:tc>
          <w:tcPr>
            <w:tcW w:w="769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1.</w:t>
            </w:r>
            <w:r>
              <w:rPr>
                <w:sz w:val="24"/>
                <w:szCs w:val="24"/>
              </w:rPr>
              <w:t>优质粮油产品市场供给数量、市场占有率较未实施项目建设前提升</w:t>
            </w:r>
            <w:r>
              <w:rPr>
                <w:sz w:val="24"/>
                <w:szCs w:val="24"/>
              </w:rPr>
              <w:t>10%</w:t>
            </w:r>
            <w:r>
              <w:rPr>
                <w:sz w:val="24"/>
                <w:szCs w:val="24"/>
              </w:rPr>
              <w:t>以上（</w:t>
            </w:r>
            <w:r>
              <w:rPr>
                <w:sz w:val="24"/>
                <w:szCs w:val="24"/>
              </w:rPr>
              <w:t>0-15</w:t>
            </w:r>
            <w:r>
              <w:rPr>
                <w:sz w:val="24"/>
                <w:szCs w:val="24"/>
              </w:rPr>
              <w:t>分）；</w:t>
            </w:r>
            <w:r>
              <w:rPr>
                <w:sz w:val="24"/>
                <w:szCs w:val="24"/>
              </w:rPr>
              <w:br/>
              <w:t>2.</w:t>
            </w:r>
            <w:r>
              <w:rPr>
                <w:sz w:val="24"/>
                <w:szCs w:val="24"/>
              </w:rPr>
              <w:t>带动农民增收取得实效（</w:t>
            </w:r>
            <w:r>
              <w:rPr>
                <w:sz w:val="24"/>
                <w:szCs w:val="24"/>
              </w:rPr>
              <w:t>0-15</w:t>
            </w:r>
            <w:r>
              <w:rPr>
                <w:sz w:val="24"/>
                <w:szCs w:val="24"/>
              </w:rPr>
              <w:t>分）。</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940"/>
          <w:jc w:val="center"/>
        </w:trPr>
        <w:tc>
          <w:tcPr>
            <w:tcW w:w="70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67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71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57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粮食质量追溯提升行动</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30</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质检中心检验数据质量的提升情况</w:t>
            </w:r>
          </w:p>
        </w:tc>
        <w:tc>
          <w:tcPr>
            <w:tcW w:w="769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1.</w:t>
            </w:r>
            <w:r>
              <w:rPr>
                <w:sz w:val="24"/>
                <w:szCs w:val="24"/>
              </w:rPr>
              <w:t>建设完成后可检验指标增加和准确度提升（</w:t>
            </w:r>
            <w:r>
              <w:rPr>
                <w:sz w:val="24"/>
                <w:szCs w:val="24"/>
              </w:rPr>
              <w:t>0-15</w:t>
            </w:r>
            <w:r>
              <w:rPr>
                <w:sz w:val="24"/>
                <w:szCs w:val="24"/>
              </w:rPr>
              <w:t>分）；</w:t>
            </w:r>
            <w:r>
              <w:rPr>
                <w:sz w:val="24"/>
                <w:szCs w:val="24"/>
              </w:rPr>
              <w:t xml:space="preserve"> </w:t>
            </w:r>
            <w:r>
              <w:rPr>
                <w:sz w:val="24"/>
                <w:szCs w:val="24"/>
              </w:rPr>
              <w:br/>
              <w:t>2.</w:t>
            </w:r>
            <w:r>
              <w:rPr>
                <w:sz w:val="24"/>
                <w:szCs w:val="24"/>
              </w:rPr>
              <w:t>粮油质量安全检验可追溯（</w:t>
            </w:r>
            <w:r>
              <w:rPr>
                <w:sz w:val="24"/>
                <w:szCs w:val="24"/>
              </w:rPr>
              <w:t>0-15</w:t>
            </w:r>
            <w:r>
              <w:rPr>
                <w:sz w:val="24"/>
                <w:szCs w:val="24"/>
              </w:rPr>
              <w:t>分）。</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717"/>
          <w:jc w:val="center"/>
        </w:trPr>
        <w:tc>
          <w:tcPr>
            <w:tcW w:w="70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67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71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57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粮食机械装备提升行动</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30</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应用具有自主知识产权和核心技术的装备情况</w:t>
            </w:r>
          </w:p>
        </w:tc>
        <w:tc>
          <w:tcPr>
            <w:tcW w:w="769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1.</w:t>
            </w:r>
            <w:r>
              <w:rPr>
                <w:sz w:val="24"/>
                <w:szCs w:val="24"/>
              </w:rPr>
              <w:t>使用装备具有自主知识产权和核心技术（</w:t>
            </w:r>
            <w:r>
              <w:rPr>
                <w:sz w:val="24"/>
                <w:szCs w:val="24"/>
              </w:rPr>
              <w:t>0-15</w:t>
            </w:r>
            <w:r>
              <w:rPr>
                <w:sz w:val="24"/>
                <w:szCs w:val="24"/>
              </w:rPr>
              <w:t>分）；</w:t>
            </w:r>
            <w:r>
              <w:rPr>
                <w:sz w:val="24"/>
                <w:szCs w:val="24"/>
              </w:rPr>
              <w:br/>
              <w:t>2.</w:t>
            </w:r>
            <w:r>
              <w:rPr>
                <w:sz w:val="24"/>
                <w:szCs w:val="24"/>
              </w:rPr>
              <w:t>新设备装配有效提升工作效率（</w:t>
            </w:r>
            <w:r>
              <w:rPr>
                <w:sz w:val="24"/>
                <w:szCs w:val="24"/>
              </w:rPr>
              <w:t>0-15</w:t>
            </w:r>
            <w:r>
              <w:rPr>
                <w:sz w:val="24"/>
                <w:szCs w:val="24"/>
              </w:rPr>
              <w:t>分）。</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23"/>
          <w:jc w:val="center"/>
        </w:trPr>
        <w:tc>
          <w:tcPr>
            <w:tcW w:w="70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67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71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57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粮食应急保障能力提升行动</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30</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粮食应急保障能力提升情况</w:t>
            </w:r>
          </w:p>
        </w:tc>
        <w:tc>
          <w:tcPr>
            <w:tcW w:w="769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1.</w:t>
            </w:r>
            <w:r>
              <w:rPr>
                <w:sz w:val="24"/>
                <w:szCs w:val="24"/>
              </w:rPr>
              <w:t>成品粮油仓储存储能力大幅提升，存储环境大幅改善（</w:t>
            </w:r>
            <w:r>
              <w:rPr>
                <w:sz w:val="24"/>
                <w:szCs w:val="24"/>
              </w:rPr>
              <w:t>0-15</w:t>
            </w:r>
            <w:r>
              <w:rPr>
                <w:sz w:val="24"/>
                <w:szCs w:val="24"/>
              </w:rPr>
              <w:t>分）；</w:t>
            </w:r>
            <w:r>
              <w:rPr>
                <w:sz w:val="24"/>
                <w:szCs w:val="24"/>
              </w:rPr>
              <w:br/>
              <w:t>2.</w:t>
            </w:r>
            <w:r>
              <w:rPr>
                <w:sz w:val="24"/>
                <w:szCs w:val="24"/>
              </w:rPr>
              <w:t>应急设施布局更加优化完善，响应更加迅速高效（</w:t>
            </w:r>
            <w:r>
              <w:rPr>
                <w:sz w:val="24"/>
                <w:szCs w:val="24"/>
              </w:rPr>
              <w:t>0-15</w:t>
            </w:r>
            <w:r>
              <w:rPr>
                <w:sz w:val="24"/>
                <w:szCs w:val="24"/>
              </w:rPr>
              <w:t>分）。</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23"/>
          <w:jc w:val="center"/>
        </w:trPr>
        <w:tc>
          <w:tcPr>
            <w:tcW w:w="70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679"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71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572" w:type="dxa"/>
            <w:vMerge/>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粮食节约减损健康消费提升行动</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30</w:t>
            </w:r>
          </w:p>
        </w:tc>
        <w:tc>
          <w:tcPr>
            <w:tcW w:w="2673"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粮食节约减损健康消费提升情况</w:t>
            </w:r>
          </w:p>
        </w:tc>
        <w:tc>
          <w:tcPr>
            <w:tcW w:w="769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textAlignment w:val="center"/>
              <w:rPr>
                <w:sz w:val="24"/>
                <w:szCs w:val="24"/>
              </w:rPr>
            </w:pPr>
            <w:r>
              <w:rPr>
                <w:sz w:val="24"/>
                <w:szCs w:val="24"/>
              </w:rPr>
              <w:t>1.</w:t>
            </w:r>
            <w:r>
              <w:rPr>
                <w:sz w:val="24"/>
                <w:szCs w:val="24"/>
              </w:rPr>
              <w:t>粮油全链条节约、减损以及健康消费效果大幅提升（</w:t>
            </w:r>
            <w:r>
              <w:rPr>
                <w:sz w:val="24"/>
                <w:szCs w:val="24"/>
              </w:rPr>
              <w:t>0-15</w:t>
            </w:r>
            <w:r>
              <w:rPr>
                <w:sz w:val="24"/>
                <w:szCs w:val="24"/>
              </w:rPr>
              <w:t>分）；</w:t>
            </w:r>
            <w:r>
              <w:rPr>
                <w:sz w:val="24"/>
                <w:szCs w:val="24"/>
              </w:rPr>
              <w:br/>
              <w:t>2.</w:t>
            </w:r>
            <w:r>
              <w:rPr>
                <w:sz w:val="24"/>
                <w:szCs w:val="24"/>
              </w:rPr>
              <w:t>有效带动、宣传、营造爱粮节粮以及健康消费良好氛围（</w:t>
            </w:r>
            <w:r>
              <w:rPr>
                <w:sz w:val="24"/>
                <w:szCs w:val="24"/>
              </w:rPr>
              <w:t>0-15</w:t>
            </w:r>
            <w:r>
              <w:rPr>
                <w:sz w:val="24"/>
                <w:szCs w:val="24"/>
              </w:rPr>
              <w:t>分）。</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r w:rsidR="00A84373" w:rsidTr="00595334">
        <w:trPr>
          <w:trHeight w:val="23"/>
          <w:jc w:val="center"/>
        </w:trPr>
        <w:tc>
          <w:tcPr>
            <w:tcW w:w="14931" w:type="dxa"/>
            <w:gridSpan w:val="8"/>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textAlignment w:val="center"/>
              <w:rPr>
                <w:sz w:val="24"/>
                <w:szCs w:val="24"/>
              </w:rPr>
            </w:pPr>
            <w:r>
              <w:rPr>
                <w:sz w:val="24"/>
                <w:szCs w:val="24"/>
              </w:rPr>
              <w:t>得分合计</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A84373" w:rsidRDefault="00A84373" w:rsidP="00595334">
            <w:pPr>
              <w:overflowPunct w:val="0"/>
              <w:adjustRightInd/>
              <w:spacing w:line="300" w:lineRule="exact"/>
              <w:jc w:val="center"/>
              <w:rPr>
                <w:sz w:val="24"/>
                <w:szCs w:val="24"/>
              </w:rPr>
            </w:pPr>
          </w:p>
        </w:tc>
      </w:tr>
    </w:tbl>
    <w:p w:rsidR="00A84373" w:rsidRDefault="00A84373" w:rsidP="00A84373">
      <w:pPr>
        <w:overflowPunct w:val="0"/>
        <w:adjustRightInd/>
        <w:spacing w:line="240" w:lineRule="auto"/>
        <w:textAlignment w:val="auto"/>
        <w:rPr>
          <w:bCs/>
          <w:sz w:val="24"/>
          <w:szCs w:val="24"/>
        </w:rPr>
      </w:pPr>
      <w:r>
        <w:rPr>
          <w:rFonts w:hint="eastAsia"/>
          <w:bCs/>
          <w:sz w:val="24"/>
          <w:szCs w:val="24"/>
        </w:rPr>
        <w:t>备注：一级指标“项目产出”和“项目效果”分值，分别根据项目所属三级指标进行评定打分。</w:t>
      </w:r>
    </w:p>
    <w:p w:rsidR="00A84373" w:rsidRDefault="00A84373" w:rsidP="00A84373">
      <w:pPr>
        <w:overflowPunct w:val="0"/>
        <w:adjustRightInd/>
        <w:spacing w:line="240" w:lineRule="auto"/>
        <w:textAlignment w:val="auto"/>
        <w:rPr>
          <w:bCs/>
          <w:kern w:val="2"/>
          <w:sz w:val="24"/>
          <w:szCs w:val="24"/>
        </w:rPr>
      </w:pPr>
      <w:r>
        <w:rPr>
          <w:bCs/>
          <w:sz w:val="24"/>
          <w:szCs w:val="24"/>
        </w:rPr>
        <w:t>单位负责人：</w:t>
      </w:r>
      <w:r>
        <w:rPr>
          <w:bCs/>
          <w:sz w:val="24"/>
          <w:szCs w:val="24"/>
        </w:rPr>
        <w:t xml:space="preserve">                  </w:t>
      </w:r>
      <w:r>
        <w:rPr>
          <w:bCs/>
          <w:sz w:val="24"/>
          <w:szCs w:val="24"/>
        </w:rPr>
        <w:t>验收组长：</w:t>
      </w:r>
      <w:r>
        <w:rPr>
          <w:bCs/>
          <w:sz w:val="24"/>
          <w:szCs w:val="24"/>
        </w:rPr>
        <w:t xml:space="preserve">                     </w:t>
      </w:r>
      <w:r>
        <w:rPr>
          <w:bCs/>
          <w:sz w:val="24"/>
          <w:szCs w:val="24"/>
        </w:rPr>
        <w:t>验收人员：</w:t>
      </w:r>
      <w:r>
        <w:rPr>
          <w:bCs/>
          <w:sz w:val="24"/>
          <w:szCs w:val="24"/>
        </w:rPr>
        <w:t xml:space="preserve">                         </w:t>
      </w:r>
      <w:r>
        <w:rPr>
          <w:bCs/>
          <w:sz w:val="24"/>
          <w:szCs w:val="24"/>
        </w:rPr>
        <w:t>年</w:t>
      </w:r>
      <w:r>
        <w:rPr>
          <w:bCs/>
          <w:sz w:val="24"/>
          <w:szCs w:val="24"/>
        </w:rPr>
        <w:t xml:space="preserve">    </w:t>
      </w:r>
      <w:r>
        <w:rPr>
          <w:bCs/>
          <w:sz w:val="24"/>
          <w:szCs w:val="24"/>
        </w:rPr>
        <w:t>月</w:t>
      </w:r>
      <w:r>
        <w:rPr>
          <w:bCs/>
          <w:sz w:val="24"/>
          <w:szCs w:val="24"/>
        </w:rPr>
        <w:t xml:space="preserve">   </w:t>
      </w:r>
      <w:r>
        <w:rPr>
          <w:bCs/>
          <w:sz w:val="24"/>
          <w:szCs w:val="24"/>
        </w:rPr>
        <w:t>日</w:t>
      </w:r>
    </w:p>
    <w:p w:rsidR="00A84373" w:rsidRPr="00A84373" w:rsidRDefault="00A84373" w:rsidP="00A84373">
      <w:pPr>
        <w:pStyle w:val="a0"/>
        <w:sectPr w:rsidR="00A84373" w:rsidRPr="00A84373">
          <w:pgSz w:w="16838" w:h="11906" w:orient="landscape"/>
          <w:pgMar w:top="1587" w:right="1962" w:bottom="1474" w:left="1848" w:header="851" w:footer="992" w:gutter="0"/>
          <w:pgNumType w:fmt="numberInDash"/>
          <w:cols w:space="720"/>
          <w:docGrid w:type="lines" w:linePitch="312"/>
        </w:sectPr>
      </w:pPr>
    </w:p>
    <w:p w:rsidR="000C1228" w:rsidRDefault="000C1228">
      <w:pPr>
        <w:pStyle w:val="a0"/>
      </w:pPr>
    </w:p>
    <w:p w:rsidR="000C1228" w:rsidRDefault="000C1228">
      <w:pPr>
        <w:pStyle w:val="a0"/>
      </w:pPr>
    </w:p>
    <w:p w:rsidR="000C1228" w:rsidRDefault="000C1228">
      <w:pPr>
        <w:pStyle w:val="a0"/>
      </w:pPr>
    </w:p>
    <w:p w:rsidR="000C1228" w:rsidRDefault="000C1228">
      <w:pPr>
        <w:pStyle w:val="a0"/>
      </w:pPr>
    </w:p>
    <w:p w:rsidR="000C1228" w:rsidRDefault="000C1228">
      <w:pPr>
        <w:pStyle w:val="a0"/>
      </w:pPr>
    </w:p>
    <w:p w:rsidR="000C1228" w:rsidRDefault="000C1228">
      <w:pPr>
        <w:pStyle w:val="a0"/>
      </w:pPr>
    </w:p>
    <w:p w:rsidR="000C1228" w:rsidRDefault="000C1228">
      <w:pPr>
        <w:pStyle w:val="a0"/>
      </w:pPr>
    </w:p>
    <w:p w:rsidR="000C1228" w:rsidRDefault="000C1228">
      <w:pPr>
        <w:pStyle w:val="a0"/>
      </w:pPr>
    </w:p>
    <w:p w:rsidR="000C1228" w:rsidRDefault="000C1228">
      <w:pPr>
        <w:pStyle w:val="a0"/>
      </w:pPr>
    </w:p>
    <w:p w:rsidR="000C1228" w:rsidRDefault="000C1228">
      <w:pPr>
        <w:pStyle w:val="a0"/>
      </w:pPr>
    </w:p>
    <w:p w:rsidR="000C1228" w:rsidRDefault="000C1228">
      <w:pPr>
        <w:pStyle w:val="a0"/>
      </w:pPr>
    </w:p>
    <w:p w:rsidR="000C1228" w:rsidRDefault="000C1228">
      <w:pPr>
        <w:overflowPunct w:val="0"/>
        <w:adjustRightInd/>
        <w:spacing w:line="600" w:lineRule="exact"/>
        <w:rPr>
          <w:rFonts w:cs="方正仿宋_GBK"/>
          <w:szCs w:val="20"/>
        </w:rPr>
      </w:pPr>
    </w:p>
    <w:p w:rsidR="000C1228" w:rsidRDefault="000C1228">
      <w:pPr>
        <w:pStyle w:val="a0"/>
      </w:pPr>
    </w:p>
    <w:p w:rsidR="000C1228" w:rsidRDefault="000C1228">
      <w:pPr>
        <w:overflowPunct w:val="0"/>
        <w:adjustRightInd/>
        <w:spacing w:line="600" w:lineRule="exact"/>
        <w:rPr>
          <w:rFonts w:cs="方正仿宋_GBK"/>
          <w:szCs w:val="20"/>
        </w:rPr>
      </w:pPr>
    </w:p>
    <w:p w:rsidR="000C1228" w:rsidRDefault="000C1228">
      <w:pPr>
        <w:overflowPunct w:val="0"/>
        <w:adjustRightInd/>
        <w:spacing w:line="600" w:lineRule="exact"/>
        <w:rPr>
          <w:rFonts w:cs="方正仿宋_GBK"/>
          <w:szCs w:val="20"/>
        </w:rPr>
      </w:pPr>
    </w:p>
    <w:p w:rsidR="000C1228" w:rsidRDefault="000C1228">
      <w:pPr>
        <w:overflowPunct w:val="0"/>
        <w:adjustRightInd/>
        <w:spacing w:line="600" w:lineRule="exact"/>
        <w:rPr>
          <w:rFonts w:cs="方正仿宋_GBK"/>
          <w:szCs w:val="20"/>
        </w:rPr>
      </w:pPr>
    </w:p>
    <w:p w:rsidR="000B4A43" w:rsidRPr="000B4A43" w:rsidRDefault="000B4A43" w:rsidP="000B4A43">
      <w:pPr>
        <w:pStyle w:val="a0"/>
      </w:pPr>
    </w:p>
    <w:p w:rsidR="000C1228" w:rsidRPr="00714EAB" w:rsidRDefault="000C1228">
      <w:pPr>
        <w:overflowPunct w:val="0"/>
        <w:adjustRightInd/>
        <w:spacing w:line="600" w:lineRule="exact"/>
        <w:rPr>
          <w:rFonts w:cs="方正仿宋_GBK"/>
          <w:szCs w:val="20"/>
        </w:rPr>
      </w:pPr>
      <w:r>
        <w:rPr>
          <w:rFonts w:cs="方正仿宋_GBK" w:hint="eastAsia"/>
          <w:szCs w:val="20"/>
        </w:rPr>
        <w:t>重庆市粮食局办公室</w:t>
      </w:r>
      <w:r>
        <w:rPr>
          <w:rFonts w:cs="方正仿宋_GBK" w:hint="eastAsia"/>
          <w:szCs w:val="20"/>
        </w:rPr>
        <w:t xml:space="preserve">                 </w:t>
      </w:r>
      <w:r w:rsidR="00714EAB" w:rsidRPr="00714EAB">
        <w:rPr>
          <w:rFonts w:cs="方正仿宋_GBK" w:hint="eastAsia"/>
          <w:szCs w:val="20"/>
        </w:rPr>
        <w:t>2022</w:t>
      </w:r>
      <w:r w:rsidR="00714EAB" w:rsidRPr="00714EAB">
        <w:rPr>
          <w:rFonts w:cs="方正仿宋_GBK" w:hint="eastAsia"/>
          <w:szCs w:val="20"/>
        </w:rPr>
        <w:t>年</w:t>
      </w:r>
      <w:r w:rsidR="00714EAB" w:rsidRPr="00714EAB">
        <w:rPr>
          <w:rFonts w:cs="方正仿宋_GBK" w:hint="eastAsia"/>
          <w:szCs w:val="20"/>
        </w:rPr>
        <w:t>11</w:t>
      </w:r>
      <w:r w:rsidR="00714EAB" w:rsidRPr="00714EAB">
        <w:rPr>
          <w:rFonts w:cs="方正仿宋_GBK" w:hint="eastAsia"/>
          <w:szCs w:val="20"/>
        </w:rPr>
        <w:t>月</w:t>
      </w:r>
      <w:r w:rsidR="00714EAB" w:rsidRPr="00714EAB">
        <w:rPr>
          <w:rFonts w:cs="方正仿宋_GBK" w:hint="eastAsia"/>
          <w:szCs w:val="20"/>
        </w:rPr>
        <w:t>25</w:t>
      </w:r>
      <w:r w:rsidR="00714EAB" w:rsidRPr="00714EAB">
        <w:rPr>
          <w:rFonts w:cs="方正仿宋_GBK" w:hint="eastAsia"/>
          <w:szCs w:val="20"/>
        </w:rPr>
        <w:t>日</w:t>
      </w:r>
      <w:r>
        <w:rPr>
          <w:rFonts w:cs="方正仿宋_GBK" w:hint="eastAsia"/>
          <w:szCs w:val="20"/>
        </w:rPr>
        <w:t>印发</w:t>
      </w:r>
    </w:p>
    <w:sectPr w:rsidR="000C1228" w:rsidRPr="00714EAB" w:rsidSect="006C2494">
      <w:pgSz w:w="11906" w:h="16838"/>
      <w:pgMar w:top="1962" w:right="1474" w:bottom="1848"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8A9" w:rsidRDefault="009448A9" w:rsidP="000C1228">
      <w:pPr>
        <w:spacing w:line="240" w:lineRule="auto"/>
        <w:ind w:firstLine="480"/>
      </w:pPr>
      <w:r>
        <w:separator/>
      </w:r>
    </w:p>
  </w:endnote>
  <w:endnote w:type="continuationSeparator" w:id="1">
    <w:p w:rsidR="009448A9" w:rsidRDefault="009448A9" w:rsidP="000C1228">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54" w:rsidRDefault="00D94DF3">
    <w:pPr>
      <w:pStyle w:val="a8"/>
      <w:ind w:leftChars="2280" w:left="7296" w:firstLineChars="2000" w:firstLine="6400"/>
      <w:rPr>
        <w:rFonts w:eastAsia="仿宋"/>
        <w:sz w:val="32"/>
        <w:szCs w:val="48"/>
      </w:rPr>
    </w:pPr>
    <w:r w:rsidRPr="00D94DF3">
      <w:rPr>
        <w:sz w:val="32"/>
      </w:rPr>
      <w:pict>
        <v:shapetype id="_x0000_t202" coordsize="21600,21600" o:spt="202" path="m,l,21600r21600,l21600,xe">
          <v:stroke joinstyle="miter"/>
          <v:path gradientshapeok="t" o:connecttype="rect"/>
        </v:shapetype>
        <v:shape id="文本框 8" o:spid="_x0000_s2051" type="#_x0000_t202" style="position:absolute;left:0;text-align:left;margin-left:520pt;margin-top:0;width:2in;height:2in;z-index:3;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fill o:detectmouseclick="t"/>
          <v:textbox style="mso-fit-shape-to-text:t" inset="0,0,0,0">
            <w:txbxContent>
              <w:p w:rsidR="00307F54" w:rsidRDefault="00D94DF3">
                <w:pPr>
                  <w:pStyle w:val="a9"/>
                </w:pPr>
                <w:r>
                  <w:rPr>
                    <w:rFonts w:ascii="宋体" w:eastAsia="宋体" w:hAnsi="宋体" w:cs="宋体" w:hint="eastAsia"/>
                    <w:sz w:val="28"/>
                    <w:szCs w:val="28"/>
                  </w:rPr>
                  <w:fldChar w:fldCharType="begin"/>
                </w:r>
                <w:r w:rsidR="00307F5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E4A34">
                  <w:rPr>
                    <w:rFonts w:ascii="宋体" w:eastAsia="宋体" w:hAnsi="宋体" w:cs="宋体"/>
                    <w:noProof/>
                    <w:sz w:val="28"/>
                    <w:szCs w:val="28"/>
                  </w:rPr>
                  <w:t>- 17 -</w:t>
                </w:r>
                <w:r>
                  <w:rPr>
                    <w:rFonts w:ascii="宋体" w:eastAsia="宋体" w:hAnsi="宋体" w:cs="宋体" w:hint="eastAsia"/>
                    <w:sz w:val="28"/>
                    <w:szCs w:val="28"/>
                  </w:rPr>
                  <w:fldChar w:fldCharType="end"/>
                </w:r>
              </w:p>
            </w:txbxContent>
          </v:textbox>
          <w10:wrap anchorx="margin"/>
        </v:shape>
      </w:pict>
    </w:r>
    <w:r w:rsidR="00307F54">
      <w:rPr>
        <w:rFonts w:eastAsia="仿宋" w:hint="eastAsia"/>
        <w:sz w:val="32"/>
        <w:szCs w:val="48"/>
      </w:rPr>
      <w:t xml:space="preserve">  </w:t>
    </w:r>
  </w:p>
  <w:p w:rsidR="00307F54" w:rsidRDefault="00D94DF3">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sidRPr="00D94DF3">
      <w:rPr>
        <w:color w:val="FAFAFA"/>
        <w:szCs w:val="28"/>
      </w:rPr>
      <w:pict>
        <v:line id="直接连接符 5" o:spid="_x0000_s2050" style="position:absolute;left:0;text-align:left;z-index: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strokecolor="#005192" strokeweight="1.75pt">
          <v:fill o:detectmouseclick="t"/>
          <v:stroke joinstyle="miter"/>
        </v:line>
      </w:pict>
    </w:r>
    <w:r w:rsidR="00307F54">
      <w:rPr>
        <w:rFonts w:hint="eastAsia"/>
        <w:color w:val="FAFAFA"/>
        <w:sz w:val="32"/>
      </w:rPr>
      <w:t xml:space="preserve"> </w:t>
    </w:r>
    <w:r w:rsidR="00307F54">
      <w:rPr>
        <w:rFonts w:hint="eastAsia"/>
        <w:color w:val="FAFAFA"/>
        <w:sz w:val="32"/>
      </w:rPr>
      <w:br/>
    </w:r>
    <w:r w:rsidR="00307F54">
      <w:rPr>
        <w:rFonts w:ascii="宋体" w:eastAsia="宋体" w:hAnsi="宋体" w:cs="宋体" w:hint="eastAsia"/>
        <w:b/>
        <w:bCs/>
        <w:color w:val="005192"/>
        <w:szCs w:val="44"/>
      </w:rPr>
      <w:t xml:space="preserve">重庆市发展和改革委员会发布     </w:t>
    </w:r>
  </w:p>
  <w:p w:rsidR="00307F54" w:rsidRDefault="00307F54">
    <w:pPr>
      <w:pStyle w:val="a8"/>
      <w:ind w:leftChars="1803" w:left="5770" w:firstLineChars="2312" w:firstLine="6499"/>
      <w:jc w:val="left"/>
      <w:rPr>
        <w:rFonts w:ascii="宋体" w:eastAsia="宋体" w:hAnsi="宋体" w:cs="宋体"/>
        <w:b/>
        <w:bCs/>
        <w:color w:val="005192"/>
        <w:szCs w:val="28"/>
      </w:rPr>
    </w:pPr>
  </w:p>
  <w:p w:rsidR="00307F54" w:rsidRDefault="00307F54">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8A9" w:rsidRDefault="009448A9" w:rsidP="000C1228">
      <w:pPr>
        <w:spacing w:line="240" w:lineRule="auto"/>
        <w:ind w:firstLine="480"/>
      </w:pPr>
      <w:r>
        <w:separator/>
      </w:r>
    </w:p>
  </w:footnote>
  <w:footnote w:type="continuationSeparator" w:id="1">
    <w:p w:rsidR="009448A9" w:rsidRDefault="009448A9" w:rsidP="000C1228">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54" w:rsidRDefault="00D94DF3">
    <w:pPr>
      <w:pStyle w:val="a8"/>
      <w:adjustRightInd/>
      <w:textAlignment w:val="center"/>
      <w:rPr>
        <w:rFonts w:ascii="方正仿宋_GBK" w:hAnsi="方正仿宋_GBK" w:cs="方正仿宋_GBK"/>
        <w:b/>
        <w:bCs/>
        <w:color w:val="000000"/>
        <w:sz w:val="32"/>
      </w:rPr>
    </w:pPr>
    <w:r>
      <w:rPr>
        <w:rFonts w:ascii="方正仿宋_GBK" w:hAnsi="方正仿宋_GBK" w:cs="方正仿宋_GBK"/>
        <w:b/>
        <w:bCs/>
        <w:color w:val="000000"/>
        <w:sz w:val="32"/>
      </w:rPr>
      <w:pict>
        <v:line id="直接连接符 4" o:spid="_x0000_s2049" style="position:absolute;left:0;text-align:left;z-index:1"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strokecolor="#005192" strokeweight="1.75pt">
          <v:fill o:detectmouseclick="t"/>
          <v:stroke joinstyle="miter"/>
        </v:line>
      </w:pict>
    </w:r>
  </w:p>
  <w:p w:rsidR="00307F54" w:rsidRDefault="00D94DF3">
    <w:pPr>
      <w:pStyle w:val="a8"/>
      <w:adjustRightInd/>
      <w:jc w:val="left"/>
      <w:textAlignment w:val="center"/>
      <w:rPr>
        <w:rFonts w:ascii="宋体" w:eastAsia="宋体" w:hAnsi="宋体" w:cs="宋体"/>
        <w:b/>
        <w:bCs/>
        <w:color w:val="005192"/>
        <w:sz w:val="32"/>
      </w:rPr>
    </w:pPr>
    <w:r w:rsidRPr="00D94DF3">
      <w:rPr>
        <w:rFonts w:ascii="宋体" w:eastAsia="宋体" w:hAnsi="宋体" w:cs="宋体"/>
        <w:b/>
        <w:bCs/>
        <w:color w:val="005192"/>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alt="国徽1024" style="width:24.3pt;height:24.3pt;mso-position-horizontal-relative:page;mso-position-vertical-relative:page">
          <v:fill o:detectmouseclick="t"/>
          <v:imagedata r:id="rId1" o:title="国徽1024"/>
        </v:shape>
      </w:pict>
    </w:r>
    <w:r w:rsidR="00307F54">
      <w:rPr>
        <w:rFonts w:ascii="宋体" w:eastAsia="宋体" w:hAnsi="宋体" w:cs="宋体" w:hint="eastAsia"/>
        <w:b/>
        <w:bCs/>
        <w:color w:val="005192"/>
        <w:sz w:val="32"/>
      </w:rPr>
      <w:t>重庆市发展和改革委员会行政规范性文件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6424E8"/>
    <w:multiLevelType w:val="singleLevel"/>
    <w:tmpl w:val="DC6424E8"/>
    <w:lvl w:ilvl="0">
      <w:start w:val="1"/>
      <w:numFmt w:val="chineseCounting"/>
      <w:suff w:val="space"/>
      <w:lvlText w:val="第%1章"/>
      <w:lvlJc w:val="left"/>
      <w:pPr>
        <w:tabs>
          <w:tab w:val="left" w:pos="0"/>
        </w:tabs>
      </w:pPr>
      <w:rPr>
        <w:rFonts w:hint="eastAsia"/>
      </w:rPr>
    </w:lvl>
  </w:abstractNum>
  <w:abstractNum w:abstractNumId="1">
    <w:nsid w:val="64A588E2"/>
    <w:multiLevelType w:val="singleLevel"/>
    <w:tmpl w:val="64A588E2"/>
    <w:lvl w:ilvl="0">
      <w:start w:val="1"/>
      <w:numFmt w:val="chineseCounting"/>
      <w:suff w:val="space"/>
      <w:lvlText w:val="第%1条"/>
      <w:lvlJc w:val="left"/>
      <w:pPr>
        <w:tabs>
          <w:tab w:val="left" w:pos="1662"/>
        </w:tabs>
        <w:ind w:firstLine="40"/>
      </w:pPr>
      <w:rPr>
        <w:rFonts w:ascii="方正黑体_GBK" w:eastAsia="方正黑体_GBK" w:hAnsi="方正黑体_GBK" w:cs="宋体" w:hint="eastAsia"/>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revisionView w:markup="0"/>
  <w:trackRevisions/>
  <w:doNotTrackMoves/>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zI0MjI0Mzc2ZjIyZjY1YWY5MGM1NmE2ZGQxZTliNWMifQ=="/>
  </w:docVars>
  <w:rsids>
    <w:rsidRoot w:val="00172A27"/>
    <w:rsid w:val="F05B4F69"/>
    <w:rsid w:val="F97D9566"/>
    <w:rsid w:val="FDFF411C"/>
    <w:rsid w:val="00042C21"/>
    <w:rsid w:val="00093F85"/>
    <w:rsid w:val="000A64D9"/>
    <w:rsid w:val="000B4A43"/>
    <w:rsid w:val="000C1228"/>
    <w:rsid w:val="000D59B9"/>
    <w:rsid w:val="000F130F"/>
    <w:rsid w:val="00172A27"/>
    <w:rsid w:val="001A6EFB"/>
    <w:rsid w:val="001B34DB"/>
    <w:rsid w:val="002415C1"/>
    <w:rsid w:val="002E523D"/>
    <w:rsid w:val="002F020F"/>
    <w:rsid w:val="00307F54"/>
    <w:rsid w:val="00333B06"/>
    <w:rsid w:val="00340F05"/>
    <w:rsid w:val="003A202D"/>
    <w:rsid w:val="003F32E8"/>
    <w:rsid w:val="005246C4"/>
    <w:rsid w:val="00586C5C"/>
    <w:rsid w:val="00595334"/>
    <w:rsid w:val="005C5B34"/>
    <w:rsid w:val="006C2494"/>
    <w:rsid w:val="0070141B"/>
    <w:rsid w:val="00714EAB"/>
    <w:rsid w:val="00723315"/>
    <w:rsid w:val="00757AB2"/>
    <w:rsid w:val="00874B16"/>
    <w:rsid w:val="008D4A50"/>
    <w:rsid w:val="009042A6"/>
    <w:rsid w:val="009448A9"/>
    <w:rsid w:val="00954892"/>
    <w:rsid w:val="0096732E"/>
    <w:rsid w:val="009E51E0"/>
    <w:rsid w:val="00A07683"/>
    <w:rsid w:val="00A84373"/>
    <w:rsid w:val="00AA394A"/>
    <w:rsid w:val="00B01CAA"/>
    <w:rsid w:val="00B15EA5"/>
    <w:rsid w:val="00B26C55"/>
    <w:rsid w:val="00BF7238"/>
    <w:rsid w:val="00CA4933"/>
    <w:rsid w:val="00D87579"/>
    <w:rsid w:val="00D94DF3"/>
    <w:rsid w:val="00DE4A34"/>
    <w:rsid w:val="00F50147"/>
    <w:rsid w:val="019E71BD"/>
    <w:rsid w:val="041C42DA"/>
    <w:rsid w:val="04B679C3"/>
    <w:rsid w:val="05F07036"/>
    <w:rsid w:val="064E7294"/>
    <w:rsid w:val="06911726"/>
    <w:rsid w:val="06E00104"/>
    <w:rsid w:val="080F63D8"/>
    <w:rsid w:val="089A1CB6"/>
    <w:rsid w:val="09102A4E"/>
    <w:rsid w:val="09341458"/>
    <w:rsid w:val="098254C2"/>
    <w:rsid w:val="0A766EDE"/>
    <w:rsid w:val="0AD64BE8"/>
    <w:rsid w:val="0B0912D7"/>
    <w:rsid w:val="0E025194"/>
    <w:rsid w:val="125B0349"/>
    <w:rsid w:val="12D90EDC"/>
    <w:rsid w:val="14DB6CB9"/>
    <w:rsid w:val="152D2DCA"/>
    <w:rsid w:val="15D5325E"/>
    <w:rsid w:val="187168EA"/>
    <w:rsid w:val="196673CA"/>
    <w:rsid w:val="19A8719B"/>
    <w:rsid w:val="1A336E14"/>
    <w:rsid w:val="1B2F4AEE"/>
    <w:rsid w:val="1C5C138F"/>
    <w:rsid w:val="1CF734C9"/>
    <w:rsid w:val="1DEC284C"/>
    <w:rsid w:val="1E6523AC"/>
    <w:rsid w:val="22440422"/>
    <w:rsid w:val="22BB4BBB"/>
    <w:rsid w:val="251A2353"/>
    <w:rsid w:val="25DE7970"/>
    <w:rsid w:val="26581D57"/>
    <w:rsid w:val="2AEB3417"/>
    <w:rsid w:val="2B40666C"/>
    <w:rsid w:val="2D502E74"/>
    <w:rsid w:val="2D5877E7"/>
    <w:rsid w:val="31A15F24"/>
    <w:rsid w:val="324A1681"/>
    <w:rsid w:val="32676969"/>
    <w:rsid w:val="36FB1DF0"/>
    <w:rsid w:val="384D705E"/>
    <w:rsid w:val="395347B5"/>
    <w:rsid w:val="39A232A0"/>
    <w:rsid w:val="39E745AA"/>
    <w:rsid w:val="39E96BD4"/>
    <w:rsid w:val="3B5A6BBB"/>
    <w:rsid w:val="3E2E249C"/>
    <w:rsid w:val="3E482CEE"/>
    <w:rsid w:val="3EDA13A6"/>
    <w:rsid w:val="3F614444"/>
    <w:rsid w:val="401713AF"/>
    <w:rsid w:val="417B75E9"/>
    <w:rsid w:val="42F058B7"/>
    <w:rsid w:val="42F209AB"/>
    <w:rsid w:val="436109F6"/>
    <w:rsid w:val="43E55848"/>
    <w:rsid w:val="441A38D4"/>
    <w:rsid w:val="4504239D"/>
    <w:rsid w:val="46057A06"/>
    <w:rsid w:val="46266C54"/>
    <w:rsid w:val="465B3904"/>
    <w:rsid w:val="4690723C"/>
    <w:rsid w:val="48E116D1"/>
    <w:rsid w:val="49B52E26"/>
    <w:rsid w:val="4B0926F5"/>
    <w:rsid w:val="4BC77339"/>
    <w:rsid w:val="4C9236C5"/>
    <w:rsid w:val="4CBF734A"/>
    <w:rsid w:val="4E250A85"/>
    <w:rsid w:val="4FBB351D"/>
    <w:rsid w:val="4FFD4925"/>
    <w:rsid w:val="505C172E"/>
    <w:rsid w:val="506405EA"/>
    <w:rsid w:val="52F46F0B"/>
    <w:rsid w:val="532B6A10"/>
    <w:rsid w:val="53D8014D"/>
    <w:rsid w:val="55003B4B"/>
    <w:rsid w:val="55E064E0"/>
    <w:rsid w:val="572C6D10"/>
    <w:rsid w:val="579F1FA0"/>
    <w:rsid w:val="5A1F09A4"/>
    <w:rsid w:val="5A961563"/>
    <w:rsid w:val="5DC34279"/>
    <w:rsid w:val="5FCD688E"/>
    <w:rsid w:val="5FF9BDAA"/>
    <w:rsid w:val="5FFE5333"/>
    <w:rsid w:val="608816D1"/>
    <w:rsid w:val="60EF4E7F"/>
    <w:rsid w:val="627D45D3"/>
    <w:rsid w:val="648B0A32"/>
    <w:rsid w:val="665233C1"/>
    <w:rsid w:val="69AC0D42"/>
    <w:rsid w:val="6AD9688B"/>
    <w:rsid w:val="6D0E3F22"/>
    <w:rsid w:val="6F9B7580"/>
    <w:rsid w:val="70B0567E"/>
    <w:rsid w:val="72252CA5"/>
    <w:rsid w:val="729D1C4D"/>
    <w:rsid w:val="744E4660"/>
    <w:rsid w:val="753355A2"/>
    <w:rsid w:val="75925E66"/>
    <w:rsid w:val="759F1C61"/>
    <w:rsid w:val="769F2DE8"/>
    <w:rsid w:val="76FDEB7C"/>
    <w:rsid w:val="79C65162"/>
    <w:rsid w:val="7AB241CD"/>
    <w:rsid w:val="7C9011D9"/>
    <w:rsid w:val="7D3858FA"/>
    <w:rsid w:val="7DC13476"/>
    <w:rsid w:val="7DC651C5"/>
    <w:rsid w:val="7DF350ED"/>
    <w:rsid w:val="7F9DA0E8"/>
    <w:rsid w:val="7FCC2834"/>
    <w:rsid w:val="7FF6A4EF"/>
    <w:rsid w:val="92DD1C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C2494"/>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qFormat/>
    <w:rsid w:val="006C2494"/>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qFormat/>
    <w:rsid w:val="006C2494"/>
    <w:rPr>
      <w:b/>
      <w:bCs/>
    </w:rPr>
  </w:style>
  <w:style w:type="character" w:styleId="a5">
    <w:name w:val="page number"/>
    <w:basedOn w:val="a1"/>
    <w:rsid w:val="006C2494"/>
  </w:style>
  <w:style w:type="character" w:customStyle="1" w:styleId="Char">
    <w:name w:val="批注框文本 Char"/>
    <w:basedOn w:val="a1"/>
    <w:link w:val="a6"/>
    <w:rsid w:val="006C2494"/>
    <w:rPr>
      <w:rFonts w:eastAsia="方正仿宋_GBK"/>
      <w:sz w:val="18"/>
      <w:szCs w:val="18"/>
    </w:rPr>
  </w:style>
  <w:style w:type="paragraph" w:styleId="a7">
    <w:name w:val="Normal (Web)"/>
    <w:basedOn w:val="a"/>
    <w:qFormat/>
    <w:rsid w:val="006C2494"/>
    <w:pPr>
      <w:spacing w:before="100" w:beforeAutospacing="1" w:after="100" w:afterAutospacing="1"/>
      <w:jc w:val="left"/>
    </w:pPr>
    <w:rPr>
      <w:sz w:val="24"/>
    </w:rPr>
  </w:style>
  <w:style w:type="paragraph" w:styleId="2">
    <w:name w:val="Body Text 2"/>
    <w:basedOn w:val="a"/>
    <w:rsid w:val="006C2494"/>
    <w:pPr>
      <w:adjustRightInd/>
      <w:spacing w:before="60" w:after="60" w:line="240" w:lineRule="auto"/>
      <w:textAlignment w:val="auto"/>
    </w:pPr>
    <w:rPr>
      <w:rFonts w:ascii="Arial" w:eastAsia="仿宋_GB2312" w:hAnsi="Arial"/>
      <w:spacing w:val="-5"/>
      <w:kern w:val="2"/>
      <w:lang w:val="zh-CN" w:eastAsia="en-US"/>
    </w:rPr>
  </w:style>
  <w:style w:type="paragraph" w:styleId="a0">
    <w:name w:val="Body Text"/>
    <w:basedOn w:val="a"/>
    <w:qFormat/>
    <w:rsid w:val="006C2494"/>
  </w:style>
  <w:style w:type="paragraph" w:styleId="a6">
    <w:name w:val="Balloon Text"/>
    <w:basedOn w:val="a"/>
    <w:link w:val="Char"/>
    <w:rsid w:val="006C2494"/>
    <w:pPr>
      <w:spacing w:line="240" w:lineRule="auto"/>
    </w:pPr>
    <w:rPr>
      <w:sz w:val="18"/>
      <w:szCs w:val="18"/>
    </w:rPr>
  </w:style>
  <w:style w:type="paragraph" w:styleId="a8">
    <w:name w:val="header"/>
    <w:basedOn w:val="a"/>
    <w:next w:val="a9"/>
    <w:qFormat/>
    <w:rsid w:val="006C2494"/>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footer"/>
    <w:basedOn w:val="a"/>
    <w:qFormat/>
    <w:rsid w:val="006C2494"/>
    <w:pPr>
      <w:tabs>
        <w:tab w:val="center" w:pos="4153"/>
        <w:tab w:val="right" w:pos="8306"/>
      </w:tabs>
      <w:snapToGrid w:val="0"/>
      <w:jc w:val="left"/>
    </w:pPr>
    <w:rPr>
      <w:sz w:val="18"/>
    </w:rPr>
  </w:style>
  <w:style w:type="paragraph" w:styleId="aa">
    <w:name w:val="annotation text"/>
    <w:basedOn w:val="a"/>
    <w:qFormat/>
    <w:rsid w:val="006C2494"/>
    <w:pPr>
      <w:jc w:val="left"/>
    </w:pPr>
  </w:style>
  <w:style w:type="paragraph" w:customStyle="1" w:styleId="p0">
    <w:name w:val="p0"/>
    <w:basedOn w:val="a"/>
    <w:qFormat/>
    <w:rsid w:val="006C2494"/>
    <w:pPr>
      <w:widowControl/>
    </w:pPr>
    <w:rPr>
      <w:rFonts w:ascii="Calibri" w:eastAsia="宋体" w:hAnsi="Calibri" w:cs="宋体"/>
    </w:rPr>
  </w:style>
  <w:style w:type="table" w:styleId="ab">
    <w:name w:val="Table Grid"/>
    <w:basedOn w:val="a2"/>
    <w:rsid w:val="006C24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8BE2F-524C-49D9-8AEA-16EF2D3C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Lenovo-pc</cp:lastModifiedBy>
  <cp:revision>6</cp:revision>
  <cp:lastPrinted>2022-05-12T00:46:00Z</cp:lastPrinted>
  <dcterms:created xsi:type="dcterms:W3CDTF">2022-12-21T11:10:00Z</dcterms:created>
  <dcterms:modified xsi:type="dcterms:W3CDTF">2023-01-04T03:08:00Z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48C61CB29D3F4D9384F5922CF0F7FFB4</vt:lpwstr>
  </property>
</Properties>
</file>