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val="0"/>
        <w:topLinePunct w:val="0"/>
        <w:autoSpaceDE/>
        <w:autoSpaceDN/>
        <w:bidi w:val="0"/>
        <w:adjustRightInd/>
        <w:snapToGrid w:val="0"/>
        <w:spacing w:beforeLines="0" w:after="0" w:afterLines="0" w:line="540" w:lineRule="exact"/>
        <w:ind w:left="0" w:leftChars="0"/>
        <w:jc w:val="center"/>
        <w:textAlignment w:val="auto"/>
        <w:outlineLvl w:val="9"/>
        <w:rPr>
          <w:rFonts w:eastAsia="方正小标宋_GBK"/>
          <w:bCs/>
          <w:kern w:val="2"/>
          <w:sz w:val="44"/>
          <w:szCs w:val="44"/>
        </w:rPr>
      </w:pPr>
      <w:r>
        <w:rPr>
          <w:rFonts w:hint="eastAsia" w:eastAsia="方正小标宋_GBK"/>
          <w:bCs/>
          <w:kern w:val="2"/>
          <w:sz w:val="44"/>
          <w:szCs w:val="44"/>
        </w:rPr>
        <w:t>重庆市发展和改革委员会</w:t>
      </w:r>
    </w:p>
    <w:p>
      <w:pPr>
        <w:keepNext w:val="0"/>
        <w:keepLines w:val="0"/>
        <w:pageBreakBefore w:val="0"/>
        <w:widowControl w:val="0"/>
        <w:kinsoku/>
        <w:wordWrap/>
        <w:overflowPunct w:val="0"/>
        <w:topLinePunct w:val="0"/>
        <w:autoSpaceDE/>
        <w:autoSpaceDN/>
        <w:bidi w:val="0"/>
        <w:adjustRightInd/>
        <w:snapToGrid w:val="0"/>
        <w:spacing w:beforeLines="0" w:after="0" w:afterLines="0" w:line="540" w:lineRule="exact"/>
        <w:ind w:left="0" w:leftChars="0"/>
        <w:jc w:val="center"/>
        <w:textAlignment w:val="auto"/>
        <w:outlineLvl w:val="9"/>
        <w:rPr>
          <w:rFonts w:hint="eastAsia" w:eastAsia="方正小标宋_GBK"/>
          <w:bCs/>
          <w:kern w:val="2"/>
          <w:sz w:val="44"/>
          <w:szCs w:val="44"/>
        </w:rPr>
      </w:pPr>
      <w:r>
        <w:rPr>
          <w:rFonts w:hint="eastAsia" w:eastAsia="方正小标宋_GBK"/>
          <w:bCs/>
          <w:kern w:val="2"/>
          <w:sz w:val="44"/>
          <w:szCs w:val="44"/>
        </w:rPr>
        <w:t>关于印发《重庆市涉企经营许可事项告知</w:t>
      </w:r>
    </w:p>
    <w:p>
      <w:pPr>
        <w:keepNext w:val="0"/>
        <w:keepLines w:val="0"/>
        <w:pageBreakBefore w:val="0"/>
        <w:widowControl w:val="0"/>
        <w:kinsoku/>
        <w:wordWrap/>
        <w:overflowPunct w:val="0"/>
        <w:topLinePunct w:val="0"/>
        <w:autoSpaceDE/>
        <w:autoSpaceDN/>
        <w:bidi w:val="0"/>
        <w:adjustRightInd/>
        <w:snapToGrid w:val="0"/>
        <w:spacing w:beforeLines="0" w:after="0" w:afterLines="0" w:line="540" w:lineRule="exact"/>
        <w:ind w:left="0" w:leftChars="0"/>
        <w:jc w:val="center"/>
        <w:textAlignment w:val="auto"/>
        <w:outlineLvl w:val="9"/>
        <w:rPr>
          <w:rFonts w:hint="eastAsia" w:eastAsia="方正小标宋_GBK"/>
          <w:bCs/>
          <w:kern w:val="2"/>
          <w:sz w:val="44"/>
          <w:szCs w:val="44"/>
        </w:rPr>
      </w:pPr>
      <w:r>
        <w:rPr>
          <w:rFonts w:hint="eastAsia" w:eastAsia="方正小标宋_GBK"/>
          <w:bCs/>
          <w:kern w:val="2"/>
          <w:sz w:val="44"/>
          <w:szCs w:val="44"/>
        </w:rPr>
        <w:t>承诺制目录（第二批）》的通知</w:t>
      </w:r>
    </w:p>
    <w:p>
      <w:pPr>
        <w:keepNext w:val="0"/>
        <w:keepLines w:val="0"/>
        <w:pageBreakBefore w:val="0"/>
        <w:widowControl w:val="0"/>
        <w:kinsoku/>
        <w:wordWrap/>
        <w:overflowPunct w:val="0"/>
        <w:topLinePunct w:val="0"/>
        <w:autoSpaceDE/>
        <w:autoSpaceDN/>
        <w:bidi w:val="0"/>
        <w:adjustRightInd/>
        <w:snapToGrid w:val="0"/>
        <w:spacing w:beforeLines="0" w:afterLines="0" w:line="60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kern w:val="2"/>
          <w:sz w:val="32"/>
          <w:szCs w:val="32"/>
        </w:rPr>
        <w:t>渝发改规范〔2021〕10号</w:t>
      </w:r>
    </w:p>
    <w:p>
      <w:pPr>
        <w:keepNext w:val="0"/>
        <w:keepLines w:val="0"/>
        <w:pageBreakBefore w:val="0"/>
        <w:widowControl w:val="0"/>
        <w:kinsoku/>
        <w:wordWrap/>
        <w:overflowPunct w:val="0"/>
        <w:topLinePunct w:val="0"/>
        <w:autoSpaceDE/>
        <w:autoSpaceDN/>
        <w:bidi w:val="0"/>
        <w:adjustRightInd/>
        <w:snapToGrid w:val="0"/>
        <w:spacing w:beforeLines="0" w:after="0" w:afterLines="0" w:line="600" w:lineRule="exact"/>
        <w:ind w:left="0" w:leftChars="0"/>
        <w:jc w:val="both"/>
        <w:textAlignment w:val="auto"/>
        <w:rPr>
          <w:rFonts w:hint="default" w:ascii="Times New Roman" w:hAnsi="Times New Roman" w:cs="Times New Roman"/>
          <w:kern w:val="2"/>
        </w:rPr>
      </w:pPr>
    </w:p>
    <w:p>
      <w:pPr>
        <w:keepNext w:val="0"/>
        <w:keepLines w:val="0"/>
        <w:pageBreakBefore w:val="0"/>
        <w:widowControl w:val="0"/>
        <w:kinsoku/>
        <w:wordWrap/>
        <w:overflowPunct w:val="0"/>
        <w:topLinePunct w:val="0"/>
        <w:autoSpaceDE/>
        <w:autoSpaceDN/>
        <w:bidi w:val="0"/>
        <w:adjustRightInd/>
        <w:snapToGrid w:val="0"/>
        <w:spacing w:beforeLines="0" w:after="0" w:afterLines="0" w:line="600" w:lineRule="exact"/>
        <w:ind w:left="0" w:leftChars="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各区县（自治县）人民政府，市政府有关部门，有关单位：</w:t>
      </w:r>
    </w:p>
    <w:p>
      <w:pPr>
        <w:keepNext w:val="0"/>
        <w:keepLines w:val="0"/>
        <w:pageBreakBefore w:val="0"/>
        <w:widowControl w:val="0"/>
        <w:kinsoku/>
        <w:wordWrap/>
        <w:overflowPunct w:val="0"/>
        <w:topLinePunct w:val="0"/>
        <w:autoSpaceDE/>
        <w:autoSpaceDN/>
        <w:bidi w:val="0"/>
        <w:adjustRightInd/>
        <w:snapToGrid w:val="0"/>
        <w:spacing w:beforeLines="0" w:after="0" w:afterLines="0" w:line="600" w:lineRule="exact"/>
        <w:ind w:left="0" w:leftChars="0" w:firstLine="640" w:firstLineChars="200"/>
        <w:jc w:val="both"/>
        <w:textAlignment w:val="auto"/>
        <w:rPr>
          <w:rFonts w:hint="default" w:ascii="Times New Roman" w:hAnsi="Times New Roman" w:eastAsia="方正仿宋_GBK" w:cs="Times New Roman"/>
          <w:bCs/>
          <w:kern w:val="2"/>
          <w:sz w:val="32"/>
          <w:szCs w:val="32"/>
        </w:rPr>
      </w:pPr>
      <w:r>
        <w:rPr>
          <w:rFonts w:hint="default" w:ascii="Times New Roman" w:hAnsi="Times New Roman" w:eastAsia="方正仿宋_GBK" w:cs="Times New Roman"/>
          <w:bCs/>
          <w:kern w:val="2"/>
          <w:sz w:val="32"/>
          <w:szCs w:val="32"/>
        </w:rPr>
        <w:t>为贯彻落实《国务院关于深化“证照分离”改革进一步激发市场主体发展活力的通知》（国发〔2021〕7号）、《重庆市深化“证照分离”改革进一步激发市场主体发展活力的通知》（渝府发〔2021〕16号）文件精神，经市政府同意，现将《重庆市涉企经营许可事项告知承诺制目录（第二批）》（以下简称《目录（第二批）》）公布，同时《重庆市涉企经营许可事项告知承诺制目录（第一批）》停止</w:t>
      </w:r>
      <w:r>
        <w:rPr>
          <w:rFonts w:hint="default" w:ascii="Times New Roman" w:hAnsi="Times New Roman" w:eastAsia="方正仿宋_GBK" w:cs="Times New Roman"/>
          <w:bCs/>
          <w:kern w:val="2"/>
          <w:sz w:val="32"/>
          <w:szCs w:val="32"/>
          <w:lang w:eastAsia="zh-CN"/>
        </w:rPr>
        <w:t>施行</w:t>
      </w:r>
      <w:r>
        <w:rPr>
          <w:rFonts w:hint="default" w:ascii="Times New Roman" w:hAnsi="Times New Roman" w:eastAsia="方正仿宋_GBK" w:cs="Times New Roman"/>
          <w:bCs/>
          <w:kern w:val="2"/>
          <w:sz w:val="32"/>
          <w:szCs w:val="32"/>
        </w:rPr>
        <w:t>。</w:t>
      </w:r>
    </w:p>
    <w:p>
      <w:pPr>
        <w:keepNext w:val="0"/>
        <w:keepLines w:val="0"/>
        <w:pageBreakBefore w:val="0"/>
        <w:widowControl w:val="0"/>
        <w:kinsoku/>
        <w:wordWrap/>
        <w:overflowPunct w:val="0"/>
        <w:topLinePunct w:val="0"/>
        <w:autoSpaceDE/>
        <w:autoSpaceDN/>
        <w:bidi w:val="0"/>
        <w:adjustRightInd/>
        <w:snapToGrid w:val="0"/>
        <w:spacing w:beforeLines="0" w:after="0" w:afterLines="0" w:line="600" w:lineRule="exact"/>
        <w:ind w:left="0" w:leftChars="0" w:firstLine="640" w:firstLineChars="200"/>
        <w:jc w:val="both"/>
        <w:textAlignment w:val="auto"/>
        <w:rPr>
          <w:rFonts w:hint="default" w:ascii="Times New Roman" w:hAnsi="Times New Roman" w:eastAsia="方正仿宋_GBK" w:cs="Times New Roman"/>
          <w:bCs/>
          <w:kern w:val="2"/>
          <w:sz w:val="32"/>
          <w:szCs w:val="32"/>
        </w:rPr>
      </w:pPr>
      <w:r>
        <w:rPr>
          <w:rFonts w:hint="default" w:ascii="Times New Roman" w:hAnsi="Times New Roman" w:eastAsia="方正仿宋_GBK" w:cs="Times New Roman"/>
          <w:bCs/>
          <w:kern w:val="2"/>
          <w:sz w:val="32"/>
          <w:szCs w:val="32"/>
        </w:rPr>
        <w:t>《目录（第二批）》自印发之日起施行。请各单位对照《目录（第二批）》，推动实施各自领域告知承诺制，完成“渝快办政务服务平台”告知承诺版块上线。</w:t>
      </w:r>
    </w:p>
    <w:p>
      <w:pPr>
        <w:keepNext w:val="0"/>
        <w:keepLines w:val="0"/>
        <w:pageBreakBefore w:val="0"/>
        <w:widowControl w:val="0"/>
        <w:kinsoku/>
        <w:wordWrap/>
        <w:overflowPunct w:val="0"/>
        <w:topLinePunct w:val="0"/>
        <w:autoSpaceDE/>
        <w:autoSpaceDN/>
        <w:bidi w:val="0"/>
        <w:adjustRightInd/>
        <w:snapToGrid w:val="0"/>
        <w:spacing w:beforeLines="0" w:after="0" w:afterLines="0" w:line="600" w:lineRule="exact"/>
        <w:ind w:left="0" w:leftChars="0" w:right="0" w:rightChars="0" w:firstLine="640" w:firstLineChars="200"/>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联系人：李晓东  67575728，17338332212</w:t>
      </w:r>
    </w:p>
    <w:p>
      <w:pPr>
        <w:keepNext w:val="0"/>
        <w:keepLines w:val="0"/>
        <w:pageBreakBefore w:val="0"/>
        <w:widowControl w:val="0"/>
        <w:kinsoku/>
        <w:wordWrap/>
        <w:overflowPunct w:val="0"/>
        <w:topLinePunct w:val="0"/>
        <w:autoSpaceDE/>
        <w:autoSpaceDN/>
        <w:bidi w:val="0"/>
        <w:adjustRightInd/>
        <w:snapToGrid w:val="0"/>
        <w:spacing w:beforeLines="0" w:after="0" w:afterLines="0" w:line="600" w:lineRule="exact"/>
        <w:ind w:left="0" w:leftChars="0" w:firstLine="1920" w:firstLineChars="600"/>
        <w:jc w:val="both"/>
        <w:textAlignment w:val="auto"/>
        <w:outlineLvl w:val="9"/>
        <w:rPr>
          <w:rFonts w:hint="default" w:ascii="Times New Roman" w:hAnsi="Times New Roman" w:eastAsia="方正仿宋_GBK" w:cs="Times New Roman"/>
          <w:bCs/>
          <w:kern w:val="2"/>
          <w:sz w:val="32"/>
          <w:szCs w:val="32"/>
        </w:rPr>
      </w:pPr>
      <w:r>
        <w:rPr>
          <w:rFonts w:hint="default" w:ascii="Times New Roman" w:hAnsi="Times New Roman" w:eastAsia="方正仿宋_GBK" w:cs="Times New Roman"/>
          <w:kern w:val="2"/>
          <w:sz w:val="32"/>
          <w:szCs w:val="32"/>
        </w:rPr>
        <w:t>钟  玲  67575725</w:t>
      </w:r>
      <w:bookmarkStart w:id="0" w:name="_GoBack"/>
      <w:bookmarkEnd w:id="0"/>
      <w:r>
        <w:rPr>
          <w:rFonts w:hint="default" w:ascii="Times New Roman" w:hAnsi="Times New Roman" w:eastAsia="方正仿宋_GBK" w:cs="Times New Roman"/>
          <w:kern w:val="2"/>
          <w:sz w:val="32"/>
          <w:szCs w:val="32"/>
        </w:rPr>
        <w:t>，13452188500</w:t>
      </w:r>
    </w:p>
    <w:p>
      <w:pPr>
        <w:keepNext w:val="0"/>
        <w:keepLines w:val="0"/>
        <w:pageBreakBefore w:val="0"/>
        <w:widowControl w:val="0"/>
        <w:kinsoku/>
        <w:wordWrap/>
        <w:overflowPunct w:val="0"/>
        <w:topLinePunct w:val="0"/>
        <w:autoSpaceDE/>
        <w:autoSpaceDN/>
        <w:bidi w:val="0"/>
        <w:adjustRightInd/>
        <w:snapToGrid w:val="0"/>
        <w:spacing w:beforeLines="0" w:after="0" w:afterLines="0" w:line="600" w:lineRule="exact"/>
        <w:ind w:left="0" w:leftChars="0"/>
        <w:jc w:val="both"/>
        <w:textAlignment w:val="auto"/>
        <w:rPr>
          <w:rFonts w:hint="default" w:ascii="Times New Roman" w:hAnsi="Times New Roman" w:eastAsia="方正仿宋_GBK" w:cs="Times New Roman"/>
          <w:bCs/>
          <w:kern w:val="2"/>
          <w:sz w:val="32"/>
          <w:szCs w:val="32"/>
        </w:rPr>
      </w:pPr>
    </w:p>
    <w:p>
      <w:pPr>
        <w:keepNext w:val="0"/>
        <w:keepLines w:val="0"/>
        <w:pageBreakBefore w:val="0"/>
        <w:widowControl w:val="0"/>
        <w:kinsoku/>
        <w:wordWrap/>
        <w:overflowPunct w:val="0"/>
        <w:topLinePunct w:val="0"/>
        <w:autoSpaceDE/>
        <w:autoSpaceDN/>
        <w:bidi w:val="0"/>
        <w:adjustRightInd/>
        <w:snapToGrid w:val="0"/>
        <w:spacing w:beforeLines="0" w:after="0" w:afterLines="0" w:line="600" w:lineRule="exact"/>
        <w:ind w:left="0" w:leftChars="0" w:firstLine="5212" w:firstLineChars="1629"/>
        <w:jc w:val="both"/>
        <w:textAlignment w:val="auto"/>
        <w:rPr>
          <w:rFonts w:hint="default"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kern w:val="2"/>
          <w:sz w:val="32"/>
          <w:szCs w:val="32"/>
        </w:rPr>
        <w:t>重庆市发展和改革委员会</w:t>
      </w:r>
      <w:r>
        <w:rPr>
          <w:rFonts w:hint="default" w:ascii="Times New Roman" w:hAnsi="Times New Roman" w:eastAsia="方正仿宋_GBK" w:cs="Times New Roman"/>
          <w:kern w:val="2"/>
          <w:sz w:val="32"/>
          <w:szCs w:val="32"/>
          <w:lang w:val="en-US" w:eastAsia="zh-CN"/>
        </w:rPr>
        <w:t xml:space="preserve">  </w:t>
      </w:r>
    </w:p>
    <w:p>
      <w:pPr>
        <w:keepNext w:val="0"/>
        <w:keepLines w:val="0"/>
        <w:pageBreakBefore w:val="0"/>
        <w:widowControl w:val="0"/>
        <w:kinsoku/>
        <w:wordWrap/>
        <w:overflowPunct w:val="0"/>
        <w:topLinePunct w:val="0"/>
        <w:autoSpaceDE/>
        <w:autoSpaceDN/>
        <w:bidi w:val="0"/>
        <w:adjustRightInd/>
        <w:snapToGrid w:val="0"/>
        <w:spacing w:beforeLines="0" w:after="0" w:afterLines="0" w:line="600" w:lineRule="exact"/>
        <w:ind w:left="0" w:leftChars="0" w:firstLine="5760" w:firstLineChars="1800"/>
        <w:jc w:val="both"/>
        <w:textAlignment w:val="auto"/>
        <w:rPr>
          <w:rFonts w:hint="eastAsia" w:ascii="方正仿宋_GBK" w:hAnsi="方正仿宋_GBK" w:eastAsia="方正仿宋_GBK" w:cs="方正仿宋_GBK"/>
          <w:kern w:val="2"/>
          <w:sz w:val="32"/>
          <w:szCs w:val="32"/>
        </w:rPr>
      </w:pPr>
      <w:r>
        <w:rPr>
          <w:rFonts w:hint="default" w:ascii="Times New Roman" w:hAnsi="Times New Roman" w:eastAsia="方正仿宋_GBK" w:cs="Times New Roman"/>
          <w:kern w:val="2"/>
          <w:sz w:val="32"/>
          <w:szCs w:val="32"/>
        </w:rPr>
        <w:t>2021年11月1</w:t>
      </w:r>
      <w:r>
        <w:rPr>
          <w:rFonts w:hint="default" w:ascii="Times New Roman" w:hAnsi="Times New Roman" w:eastAsia="方正仿宋_GBK" w:cs="Times New Roman"/>
          <w:kern w:val="2"/>
          <w:sz w:val="32"/>
          <w:szCs w:val="32"/>
          <w:lang w:eastAsia="zh-CN"/>
        </w:rPr>
        <w:t>1</w:t>
      </w:r>
      <w:r>
        <w:rPr>
          <w:rFonts w:hint="default" w:ascii="Times New Roman" w:hAnsi="Times New Roman" w:eastAsia="方正仿宋_GBK" w:cs="Times New Roman"/>
          <w:kern w:val="2"/>
          <w:sz w:val="32"/>
          <w:szCs w:val="32"/>
        </w:rPr>
        <w:t xml:space="preserve">日   </w:t>
      </w:r>
      <w:r>
        <w:rPr>
          <w:rFonts w:hint="eastAsia" w:ascii="方正仿宋_GBK" w:hAnsi="方正仿宋_GBK" w:eastAsia="方正仿宋_GBK" w:cs="方正仿宋_GBK"/>
          <w:kern w:val="2"/>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widowControl w:val="0"/>
        <w:kinsoku/>
        <w:wordWrap/>
        <w:overflowPunct w:val="0"/>
        <w:topLinePunct w:val="0"/>
        <w:autoSpaceDE/>
        <w:autoSpaceDN/>
        <w:bidi w:val="0"/>
        <w:adjustRightInd/>
        <w:snapToGrid w:val="0"/>
        <w:spacing w:beforeLines="0" w:afterLines="0" w:line="540" w:lineRule="exact"/>
        <w:ind w:right="0" w:rightChars="0"/>
        <w:jc w:val="center"/>
        <w:textAlignment w:val="auto"/>
        <w:outlineLvl w:val="9"/>
        <w:rPr>
          <w:rFonts w:hint="eastAsia" w:ascii="Times New Roman" w:hAnsi="Times New Roman" w:eastAsia="方正小标宋_GBK" w:cs="Times New Roman"/>
          <w:bCs/>
          <w:color w:val="000000"/>
          <w:kern w:val="2"/>
          <w:sz w:val="44"/>
          <w:szCs w:val="44"/>
          <w:lang w:bidi="ar"/>
        </w:rPr>
      </w:pPr>
    </w:p>
    <w:p>
      <w:pPr>
        <w:keepNext w:val="0"/>
        <w:keepLines w:val="0"/>
        <w:pageBreakBefore w:val="0"/>
        <w:widowControl w:val="0"/>
        <w:kinsoku/>
        <w:wordWrap/>
        <w:overflowPunct w:val="0"/>
        <w:topLinePunct w:val="0"/>
        <w:autoSpaceDE/>
        <w:autoSpaceDN/>
        <w:bidi w:val="0"/>
        <w:adjustRightInd/>
        <w:snapToGrid w:val="0"/>
        <w:spacing w:beforeLines="0" w:afterLines="0" w:line="540" w:lineRule="exact"/>
        <w:ind w:right="0" w:rightChars="0"/>
        <w:jc w:val="center"/>
        <w:textAlignment w:val="auto"/>
        <w:outlineLvl w:val="9"/>
        <w:rPr>
          <w:rFonts w:hint="eastAsia" w:ascii="Times New Roman" w:hAnsi="Times New Roman" w:eastAsia="方正小标宋_GBK" w:cs="Times New Roman"/>
          <w:bCs/>
          <w:color w:val="000000"/>
          <w:kern w:val="2"/>
          <w:sz w:val="44"/>
          <w:szCs w:val="44"/>
          <w:lang w:bidi="ar"/>
        </w:rPr>
      </w:pPr>
      <w:r>
        <w:rPr>
          <w:rFonts w:hint="eastAsia" w:ascii="Times New Roman" w:hAnsi="Times New Roman" w:eastAsia="方正小标宋_GBK" w:cs="Times New Roman"/>
          <w:bCs/>
          <w:color w:val="000000"/>
          <w:kern w:val="2"/>
          <w:sz w:val="44"/>
          <w:szCs w:val="44"/>
          <w:lang w:bidi="ar"/>
        </w:rPr>
        <w:t>重庆市涉企经营许可事项告知承诺制目录</w:t>
      </w:r>
    </w:p>
    <w:p>
      <w:pPr>
        <w:keepNext w:val="0"/>
        <w:keepLines w:val="0"/>
        <w:pageBreakBefore w:val="0"/>
        <w:widowControl w:val="0"/>
        <w:kinsoku/>
        <w:wordWrap/>
        <w:overflowPunct w:val="0"/>
        <w:topLinePunct w:val="0"/>
        <w:autoSpaceDE/>
        <w:autoSpaceDN/>
        <w:bidi w:val="0"/>
        <w:adjustRightInd/>
        <w:snapToGrid w:val="0"/>
        <w:spacing w:beforeLines="0" w:afterLines="0" w:line="540" w:lineRule="exact"/>
        <w:ind w:right="0" w:rightChars="0"/>
        <w:jc w:val="center"/>
        <w:textAlignment w:val="auto"/>
        <w:outlineLvl w:val="9"/>
        <w:rPr>
          <w:rFonts w:hint="eastAsia" w:eastAsia="方正小标宋_GBK"/>
          <w:bCs/>
          <w:kern w:val="2"/>
          <w:sz w:val="44"/>
          <w:szCs w:val="44"/>
        </w:rPr>
      </w:pPr>
      <w:r>
        <w:rPr>
          <w:rFonts w:hint="eastAsia" w:ascii="Times New Roman" w:hAnsi="Times New Roman" w:eastAsia="方正小标宋_GBK" w:cs="Times New Roman"/>
          <w:bCs/>
          <w:color w:val="000000"/>
          <w:kern w:val="2"/>
          <w:sz w:val="44"/>
          <w:szCs w:val="44"/>
          <w:lang w:bidi="ar"/>
        </w:rPr>
        <w:t>（第二批）</w:t>
      </w:r>
    </w:p>
    <w:p>
      <w:pPr>
        <w:keepNext w:val="0"/>
        <w:keepLines w:val="0"/>
        <w:pageBreakBefore w:val="0"/>
        <w:widowControl w:val="0"/>
        <w:kinsoku/>
        <w:wordWrap/>
        <w:overflowPunct w:val="0"/>
        <w:topLinePunct w:val="0"/>
        <w:autoSpaceDE/>
        <w:autoSpaceDN/>
        <w:bidi w:val="0"/>
        <w:adjustRightInd/>
        <w:snapToGrid w:val="0"/>
        <w:spacing w:beforeLines="0" w:afterLines="0" w:line="600" w:lineRule="atLeast"/>
      </w:pPr>
    </w:p>
    <w:tbl>
      <w:tblPr>
        <w:tblStyle w:val="8"/>
        <w:tblW w:w="153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68"/>
        <w:gridCol w:w="2059"/>
        <w:gridCol w:w="3914"/>
        <w:gridCol w:w="3602"/>
        <w:gridCol w:w="3518"/>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8" w:hRule="atLeast"/>
          <w:tblHeader/>
          <w:jc w:val="center"/>
        </w:trPr>
        <w:tc>
          <w:tcPr>
            <w:tcW w:w="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黑体_GBK" w:hAnsi="方正黑体_GBK" w:eastAsia="方正黑体_GBK" w:cs="方正黑体_GBK"/>
                <w:color w:val="000000"/>
                <w:kern w:val="2"/>
                <w:sz w:val="24"/>
                <w:szCs w:val="24"/>
              </w:rPr>
            </w:pPr>
            <w:r>
              <w:rPr>
                <w:rFonts w:hint="eastAsia" w:ascii="方正黑体_GBK" w:hAnsi="方正黑体_GBK" w:eastAsia="方正黑体_GBK" w:cs="方正黑体_GBK"/>
                <w:color w:val="000000"/>
                <w:sz w:val="24"/>
                <w:szCs w:val="24"/>
                <w:lang w:bidi="ar"/>
              </w:rPr>
              <w:t>序号</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黑体_GBK" w:hAnsi="方正黑体_GBK" w:eastAsia="方正黑体_GBK" w:cs="方正黑体_GBK"/>
                <w:color w:val="000000"/>
                <w:kern w:val="2"/>
                <w:sz w:val="24"/>
                <w:szCs w:val="24"/>
              </w:rPr>
            </w:pPr>
            <w:r>
              <w:rPr>
                <w:rFonts w:hint="eastAsia" w:ascii="方正黑体_GBK" w:hAnsi="方正黑体_GBK" w:eastAsia="方正黑体_GBK" w:cs="方正黑体_GBK"/>
                <w:color w:val="000000"/>
                <w:sz w:val="24"/>
                <w:szCs w:val="24"/>
                <w:lang w:bidi="ar"/>
              </w:rPr>
              <w:t>审批层级和部门</w:t>
            </w:r>
          </w:p>
        </w:tc>
        <w:tc>
          <w:tcPr>
            <w:tcW w:w="3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黑体_GBK" w:hAnsi="方正黑体_GBK" w:eastAsia="方正黑体_GBK" w:cs="方正黑体_GBK"/>
                <w:color w:val="000000"/>
                <w:kern w:val="2"/>
                <w:sz w:val="24"/>
                <w:szCs w:val="24"/>
              </w:rPr>
            </w:pPr>
            <w:r>
              <w:rPr>
                <w:rFonts w:hint="eastAsia" w:ascii="方正黑体_GBK" w:hAnsi="方正黑体_GBK" w:eastAsia="方正黑体_GBK" w:cs="方正黑体_GBK"/>
                <w:color w:val="000000"/>
                <w:sz w:val="24"/>
                <w:szCs w:val="24"/>
                <w:lang w:bidi="ar"/>
              </w:rPr>
              <w:t>涉企经营许可事项</w:t>
            </w:r>
          </w:p>
        </w:tc>
        <w:tc>
          <w:tcPr>
            <w:tcW w:w="3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黑体_GBK" w:hAnsi="方正黑体_GBK" w:eastAsia="方正黑体_GBK" w:cs="方正黑体_GBK"/>
                <w:color w:val="000000"/>
                <w:kern w:val="2"/>
                <w:sz w:val="24"/>
                <w:szCs w:val="24"/>
              </w:rPr>
            </w:pPr>
            <w:r>
              <w:rPr>
                <w:rFonts w:hint="eastAsia" w:ascii="方正黑体_GBK" w:hAnsi="方正黑体_GBK" w:eastAsia="方正黑体_GBK" w:cs="方正黑体_GBK"/>
                <w:color w:val="000000"/>
                <w:sz w:val="24"/>
                <w:szCs w:val="24"/>
                <w:lang w:bidi="ar"/>
              </w:rPr>
              <w:t>许可证件名称</w:t>
            </w:r>
          </w:p>
        </w:tc>
        <w:tc>
          <w:tcPr>
            <w:tcW w:w="3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黑体_GBK" w:hAnsi="方正黑体_GBK" w:eastAsia="方正黑体_GBK" w:cs="方正黑体_GBK"/>
                <w:color w:val="000000"/>
                <w:kern w:val="2"/>
                <w:sz w:val="24"/>
                <w:szCs w:val="24"/>
              </w:rPr>
            </w:pPr>
            <w:r>
              <w:rPr>
                <w:rFonts w:hint="eastAsia" w:ascii="方正黑体_GBK" w:hAnsi="方正黑体_GBK" w:eastAsia="方正黑体_GBK" w:cs="方正黑体_GBK"/>
                <w:color w:val="000000"/>
                <w:sz w:val="24"/>
                <w:szCs w:val="24"/>
                <w:lang w:bidi="ar"/>
              </w:rPr>
              <w:t>设定依据</w:t>
            </w:r>
          </w:p>
        </w:tc>
        <w:tc>
          <w:tcPr>
            <w:tcW w:w="15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黑体_GBK" w:hAnsi="方正黑体_GBK" w:eastAsia="方正黑体_GBK" w:cs="方正黑体_GBK"/>
                <w:color w:val="000000"/>
                <w:kern w:val="2"/>
                <w:sz w:val="24"/>
                <w:szCs w:val="24"/>
              </w:rPr>
            </w:pPr>
            <w:r>
              <w:rPr>
                <w:rFonts w:hint="eastAsia" w:ascii="方正黑体_GBK" w:hAnsi="方正黑体_GBK" w:eastAsia="方正黑体_GBK" w:cs="方正黑体_GBK"/>
                <w:color w:val="000000"/>
                <w:sz w:val="24"/>
                <w:szCs w:val="24"/>
                <w:lang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2" w:hRule="atLeast"/>
          <w:tblHeader/>
          <w:jc w:val="center"/>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c>
          <w:tcPr>
            <w:tcW w:w="3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c>
          <w:tcPr>
            <w:tcW w:w="3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c>
          <w:tcPr>
            <w:tcW w:w="3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9" w:hRule="atLeast"/>
          <w:jc w:val="center"/>
        </w:trPr>
        <w:tc>
          <w:tcPr>
            <w:tcW w:w="1534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（一）全市推行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59"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1</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区县新闻出版部门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从事包装装潢印刷品和其他印刷品（不含商标、票据、保密印刷）印刷经营活动企业（不含外资企业）的设立、变更审批</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印刷经营许可证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《印刷业管理条例》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7"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2</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市新闻出版部门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音像制作单位设立、变更审批</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音像制品制作许可证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《音像制品管理条例》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3</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市新闻出版部门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电子出版物制作单位设立、变更审批</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电子出版物制作许可证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《音像制品管理条例》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4</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区县公安机关</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旅馆业特种行业许可证核发</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旅馆业特种行业许可证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《国务院对确需保留的行政审批项目设定行政许可的决定》《旅馆业治安管理办法》</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9"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5</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区县公安机关</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公章刻制业特种行业许可证核发</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公章刻制业特种行业许可证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《国务院对确需保留的行政审批项目设定行政许可的决定》《印铸刻字业暂行管理规则》</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7"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6</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区县公安机关</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互联网上网服务营业场所信息网络安全审核</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批准文件</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《互联网上网服务营业场所管理条例》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7"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7</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市财政部门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会计师事务所分支机构设立审批</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会计师事务所分所执业证书</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《中华人民共和国注册会计师法》</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7"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8</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区县财政部门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中介机构从事代理记账业务审批</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代理记账许可证书</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《中华人民共和国会计法》</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FF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6"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9</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市、区县人力资源社会保障部门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人力资源服务许可</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人力资源服务许可证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《中华人民共和国就业促进法》《人力资源市场暂行条例》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b/>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6"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10</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市、区县人力资源社会保障部门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民办职业培训学校设立、分立、合并、变更及终止审批</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民办学校办学许可证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《中华人民共和国民办教育促进法》</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6"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11</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市人力资源社会保障部门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经营性中外合作职业技能培训机构设立、分立、合并、变更、终止审批</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中外合作办学许可证、内地与港澳台地区合作办学许可证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《中华人民共和国中外合作办学条例》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7"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12</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市规划自然资源部门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城乡规划编制单位乙级资质认定</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城乡规划编制资质证书</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《中华人民共和国城乡规划法》</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62"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13</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市城市管理部门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从事生活垃圾经营性清扫、收集、运输、处理服务审批</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从事生活垃圾经营性清扫、收集、运输、处理服务许可证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《国务院对确需保留的行政审批项目设定行政许可的决定》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6"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14</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市、区县交通运输部门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港口（涉及客运和危险货物港口作业的经营项目除外）经营许可</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港口经营许可证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《中华人民共和国港口法》</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7"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15</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市交通运输部门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水运工程监理企业乙级资质认定</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交通建设工程监理企业资质等级证书</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《建设工程质量管理条例》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9"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16</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市交通运输部门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水运工程监理企业机电专项资质认定</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交通建设工程监理企业资质等级证书</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《建设工程质量管理条例》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4"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17</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区县交通运输部门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道路货运经营许可</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道路运输经营许可证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《中华人民共和国道路运输条例》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4"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18</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区县交通运输部门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道路旅客运输站经营许可</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道路运输经营许可证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《中华人民共和国道路运输条例》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4"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19</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市水利部门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水利工程质量检测单位资质认定（乙级）</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水利工程质量检测单位资质等级证书（乙级）</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《国务院对确需保留的行政审批项目设定行政许可的决定》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9"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20</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市、区县商务部门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从事拍卖业务许可</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拍卖经营批准证书</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《中华人民共和国拍卖法》</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FF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7"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21</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市卫生健康部门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社会办医疗机构乙类大型医用设备配置许可</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乙类大型医用设备配置许可证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《医疗器械监督管理条例》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0"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22</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区县卫生健康部门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公共场所卫生许可</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卫生许可证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《公共场所卫生管理条例》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59"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23</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市市场监管部门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检验检测机构资质认定</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检验检测机构资质认定证书</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《中华人民共和国计量法》《中华人民共和国食品安全法》《中华人民共和国计量法实施细则》《中华人民共和国认证认可条例》《医疗器械监督管理条例》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45"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24</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市市场监管部门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重要工业产品生产许可证核发（食品相关产品、化肥）</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重要工业产品生产许可证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《中华人民共和国食品安全法》《中华人民共和国工业产品生产许可证管理条例》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区县市场监管部门受托核发食品相关产品工业许可证；自贸区范围内的区市场监管部门负责核发化肥工业许可证。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2"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25</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市林业部门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省级权限内国家重点保护陆生野生动物人工繁育许可证核发（已制定人工繁育技术标准的物种和列入人工繁育国家重点保护陆生野生动物目录的物种）</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国家重点保护陆生野生动物人工繁育许可证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《中华人民共和国野生动物保护法》</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9"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26</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区县林业部门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林草种子（普通）生产经营许可证核发</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林草种子生产经营许可证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《中华人民共和国种子法》</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9"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27</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市药监部门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药品互联网信息服务审批</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互联网药品信息服务资格证书</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《互联网信息服务管理办法》</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FF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9"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28</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市药监部门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医疗器械互联网信息服务审批</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互联网药品信息服务资格证书</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《互联网信息服务管理办法》</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9"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29</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市药监部门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医疗机构使用放射性药品（一、二类）许可</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放射性药品使用许可证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《放射性药品管理办法》</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9"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30</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主管海关</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口岸卫生许可证（涉及公共场所）核发</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国境口岸卫生许可证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《中华人民共和国国境卫生检疫法实施细则》</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6"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31</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区县消防救援机构</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公众聚集场所投入使用、营业前消防安全检查</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公众聚集场所投入使用、营业前消防安全检查意见书</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《中华人民共和国消防法》</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9" w:hRule="atLeast"/>
          <w:jc w:val="center"/>
        </w:trPr>
        <w:tc>
          <w:tcPr>
            <w:tcW w:w="137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（二）自贸试验区试点推行</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1</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市、区县人民政府</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生猪定点屠宰厂（场）设置审查</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生猪定点屠宰证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《生猪屠宰管理条例》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FF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0"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2</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区县经信部门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建筑业企业资质认定（燃气燃烧器具安装维修企业资质）</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建筑业企业资质证书</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《中华人民共和国建筑法》《建筑业企业资质管理规定》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FF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9"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3</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区县新闻出版部门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出版物零售个体工商户设立、变更审批</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出版物经营许可证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《出版管理条例》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0"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4</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市、区县人力资源社会保障部门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劳务派遣经营许可</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劳务派遣经营许可证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《中华人民共和国劳动合同法》</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FF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7"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5</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市、区县住房城乡建设部门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建设工程勘察企业资质认定（乙级）</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工程勘察资质证书</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《中华人民共和国建筑法》《建设工程勘察设计管理条例》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0"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6</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市、区县住房城乡建设部门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建筑业企业资质认定（部分施工总承包乙级、部分专业承包）</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建筑业企业资质证书</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《中华人民共和国建筑法》</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6"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7</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市、区县住房城乡建设部门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房地产开发企业二级资质核定</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房地产开发企业资质证书</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《中华人民共和国城市房地产管理法》《城市房地产开发经营管理条例》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FF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0"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8</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市住房城乡建设部门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建设工程设计企业资质认定（部分乙级）</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工程设计资质证书</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《中华人民共和国建筑法》《建设工程勘察设计管理条例》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9"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9</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市住房城乡建设部门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建筑施工企业安全生产许可证核发</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建筑施工企业安全生产许可证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《安全生产许可证条例》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FF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6"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10</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市住房城乡建设部门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建筑业企业资质认定（建筑工程、市政公用工程施工总承包甲级）</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建筑业企业资质证书</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《中华人民共和国建筑法》</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6"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11</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市住房城乡建设部门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工程监理企业资质认定（房屋建筑工程、市政公用工程专业甲级）</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工程监理资质证书</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《中华人民共和国建筑法》</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4"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12</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区县住房城乡建设部门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工程监理企业资质认定（专业乙级）</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工程监理资质证书</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《中华人民共和国建筑法》</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9"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13</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市、区县交通运输部门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建设港口设施使用非深水岸线审批</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批准文件</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《中华人民共和国港口法》</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FF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9"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14</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市交通运输部门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路基路面养护作业单位乙级资质审批</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公路养护作业资质证书</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《公路安全保护条例》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9"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15</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市交通运输部门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经营国内船舶管理业务审批</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国内船舶管理业务经营许可证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《国内水路运输管理条例》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FF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9"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16</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市、区县农业农村部门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蜂种生产经营许可证核发</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蜂种生产经营许可证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《中华人民共和国畜牧法》</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FF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9"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17</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市、区县农业农村部门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种畜禽生产经营许可</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种畜禽生产经营许可证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《中华人民共和国畜牧法》</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FF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9"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18</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市、区县农业农村部门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食用菌菌种生产经营许可证核发</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食用菌菌种生产经营许可证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《中华人民共和国种子法》</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0"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19</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区县农业农村部门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水产苗种场（不含原种场）的水产苗种生产许可证核发</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水产苗种生产许可证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《中华人民共和国渔业法》</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FF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4"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20</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区县农业农村部门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生鲜乳准运证明核发</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生鲜乳准运证明</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《乳品质量安全监督管理条例》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FF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4"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21</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区县农业农村部门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兽药经营许可证核发（非生物制品类）</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兽药经营许可证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《兽药管理条例》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FF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4"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22</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区县农业农村部门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动物诊疗许可证核发</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动物诊疗许可证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《中华人民共和国动物防疫法》</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FF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9"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23</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市、区县商务部门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蚕种生产经营许可证核发</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蚕种生产经营许可证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《中华人民共和国畜牧法》</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FF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4"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24</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市商务部门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对外劳务合作经营资格核准</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对外劳务合作经营资格证书</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《中华人民共和国对外贸易法》《对外劳务合作管理条例》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FF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9"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25</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市文化旅游部门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广播电视节目制作经营单位设立审批</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广播电视节目制作经营许可证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《广播电视管理条例》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FF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4"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26</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市文化旅游部门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广播电视视频点播业务（乙种）审批</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广播电视视频点播业务许可证（乙种）</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《国务院对确需保留的行政审批项目设定行政许可的决定》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FF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9"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27</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区县文化旅游部门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旅行社设立许可</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旅行社业务经营许可证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《中华人民共和国旅游法》《旅行社条例》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FF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9"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28</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市、区县卫生健康部门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麻醉药品和第一类精神药品购用许可</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麻醉药品和第一类精神药品购用印鉴卡</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《麻醉药品和精神药品管理条例》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FF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9"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29</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市卫生健康部门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生产用于传染病防治的消毒产品的单位审批</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消毒产品生产企业卫生许可证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《中华人民共和国传染病防治法》</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FF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9"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30</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市、区县应急管理部门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危险化学品经营（无储存）许可证核发</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危险化学品经营许可证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《危险化学品安全管理条例》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9"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31</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区县市场监管部门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食品生产许可（低风险食品）</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食品生产许可证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《中华人民共和国食品安全法》</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9"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32</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区县体育部门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经营高危险性体育项目许可</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经营高危险性体育项目许可证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《全民健身条例》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FF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0"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33</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市药监部门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化妆品生产许可（延续）</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化妆品生产许可证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《化妆品监督管理条例》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4"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34</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市文物部门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文物商店设立审批</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批准文件</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《中华人民共和国文物保护法》</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FF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6"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35</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市、区县气象部门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升放无人驾驶自由气球、系留气球单位资质认定</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升放气球资质证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《国务院对确需保留的行政审批项目设定行政许可的决定》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FF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7"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36</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市通信管理部门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电信业务（第二类增值电信业务）经营许可</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电信业务经营许可证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《中华人民共和国电信条例》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FF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7"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37</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市烟草部门</w:t>
            </w:r>
          </w:p>
        </w:tc>
        <w:tc>
          <w:tcPr>
            <w:tcW w:w="3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设立烟叶收购站（点）审批</w:t>
            </w:r>
          </w:p>
        </w:tc>
        <w:tc>
          <w:tcPr>
            <w:tcW w:w="3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烟草专卖烟叶收购证</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center"/>
              <w:outlineLvl w:val="9"/>
              <w:rPr>
                <w:rFonts w:hint="default"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z w:val="24"/>
                <w:szCs w:val="24"/>
                <w:lang w:bidi="ar"/>
              </w:rPr>
              <w:t>《中华人民共和国烟草专卖法实施条例》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方正仿宋_GBK" w:hAnsi="方正仿宋_GBK" w:eastAsia="方正仿宋_GBK" w:cs="方正仿宋_GBK"/>
                <w:color w:val="FF0000"/>
                <w:kern w:val="2"/>
                <w:sz w:val="24"/>
                <w:szCs w:val="24"/>
              </w:rPr>
            </w:pPr>
          </w:p>
        </w:tc>
      </w:tr>
    </w:tbl>
    <w:p>
      <w:pPr>
        <w:keepNext w:val="0"/>
        <w:keepLines w:val="0"/>
        <w:pageBreakBefore w:val="0"/>
        <w:widowControl/>
        <w:kinsoku/>
        <w:wordWrap/>
        <w:overflowPunct/>
        <w:topLinePunct w:val="0"/>
        <w:autoSpaceDE/>
        <w:autoSpaceDN/>
        <w:bidi w:val="0"/>
        <w:adjustRightInd/>
        <w:snapToGrid/>
        <w:spacing w:beforeLines="-2147483648" w:afterLines="-2147483648" w:line="240" w:lineRule="auto"/>
        <w:rPr>
          <w:rFonts w:hint="default" w:asciiTheme="minorHAnsi" w:hAnsiTheme="minorHAnsi" w:cstheme="minorBidi"/>
          <w:sz w:val="21"/>
          <w:szCs w:val="24"/>
        </w:rPr>
      </w:pPr>
    </w:p>
    <w:p>
      <w:pPr>
        <w:keepNext w:val="0"/>
        <w:keepLines w:val="0"/>
        <w:pageBreakBefore w:val="0"/>
        <w:widowControl/>
        <w:pBdr>
          <w:top w:val="none" w:color="auto" w:sz="0" w:space="0"/>
          <w:bottom w:val="none" w:color="auto" w:sz="0" w:space="0"/>
        </w:pBdr>
        <w:kinsoku/>
        <w:wordWrap/>
        <w:overflowPunct/>
        <w:topLinePunct w:val="0"/>
        <w:autoSpaceDE/>
        <w:autoSpaceDN/>
        <w:bidi w:val="0"/>
        <w:adjustRightInd/>
        <w:snapToGrid/>
        <w:spacing w:beforeLines="-2147483648" w:afterLines="-2147483648" w:line="240" w:lineRule="auto"/>
        <w:textAlignment w:val="auto"/>
        <w:rPr>
          <w:rFonts w:hint="default" w:cstheme="minorBidi"/>
        </w:rPr>
      </w:pPr>
    </w:p>
    <w:p>
      <w:pPr>
        <w:keepNext w:val="0"/>
        <w:keepLines w:val="0"/>
        <w:pageBreakBefore w:val="0"/>
        <w:kinsoku/>
        <w:overflowPunct/>
        <w:topLinePunct w:val="0"/>
        <w:bidi w:val="0"/>
        <w:spacing w:line="240" w:lineRule="auto"/>
        <w:ind w:left="0" w:leftChars="0" w:right="0" w:rightChars="0"/>
        <w:jc w:val="left"/>
        <w:textAlignment w:val="auto"/>
        <w:rPr>
          <w:rFonts w:hint="default" w:asciiTheme="minorHAnsi" w:hAnsiTheme="minorHAnsi" w:eastAsiaTheme="minorEastAsia" w:cstheme="minorBidi"/>
          <w:kern w:val="2"/>
          <w:sz w:val="21"/>
          <w:szCs w:val="24"/>
          <w:shd w:val="clear" w:color="auto" w:fill="auto"/>
          <w:lang w:eastAsia="zh-CN" w:bidi="ar-SA"/>
        </w:rPr>
      </w:pPr>
    </w:p>
    <w:sectPr>
      <w:headerReference r:id="rId5" w:type="default"/>
      <w:footerReference r:id="rId6" w:type="default"/>
      <w:pgSz w:w="16838" w:h="11906" w:orient="landscape"/>
      <w:pgMar w:top="1587" w:right="1962" w:bottom="1474" w:left="1848" w:header="851" w:footer="992" w:gutter="0"/>
      <w:pgNumType w:fmt="numberInDash"/>
      <w:cols w:space="0" w:num="1"/>
      <w:formProt w:val="1"/>
      <w:rtlGutter w:val="0"/>
      <w:docGrid w:type="linesAndChars" w:linePitch="353" w:charSpace="-1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32"/>
        <w:szCs w:val="32"/>
        <w:lang w:val="en-US" w:eastAsia="zh-Hans"/>
      </w:rPr>
      <w:t>重庆市发展和改革委员会发布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10795" r="17780" b="17780"/>
              <wp:wrapNone/>
              <wp:docPr id="17" name="直接连接符 17"/>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H4ayde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重庆市发展和改革委员会发布</w:t>
    </w:r>
    <w:r>
      <w:rPr>
        <w:rFonts w:hint="eastAsia" w:ascii="宋体" w:hAnsi="宋体" w:eastAsia="宋体" w:cs="宋体"/>
        <w:b/>
        <w:bCs/>
        <w:color w:val="005192"/>
        <w:sz w:val="28"/>
        <w:szCs w:val="44"/>
        <w:lang w:eastAsia="zh-CN"/>
      </w:rPr>
      <w:t xml:space="preserve">     </w:t>
    </w:r>
  </w:p>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重庆市发展和改革委员会行政规范性文件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10795" r="17145" b="17780"/>
              <wp:wrapNone/>
              <wp:docPr id="14" name="直接连接符 14"/>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vligdUAAAAIAQAADwAAAAAAAAABACAAAAAiAAAAZHJzL2Rvd25yZXYueG1sUEsBAhQA&#10;FAAAAAgAh07iQDps84z1AQAAvwMAAA4AAAAAAAAAAQAgAAAAJAEAAGRycy9lMm9Eb2MueG1sUEsF&#10;BgAAAAAGAAYAWQEAAIs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15" name="图片 15"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重庆市发展和改革委员会行政规范性文件</w: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HorizontalSpacing w:val="100"/>
  <w:drawingGridVerticalSpacing w:val="17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0MjI0Mzc2ZjIyZjY1YWY5MGM1NmE2ZGQxZTliNWM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3241561"/>
    <w:rsid w:val="25EB1AF4"/>
    <w:rsid w:val="2C125EC4"/>
    <w:rsid w:val="2DD05FE1"/>
    <w:rsid w:val="2EAE3447"/>
    <w:rsid w:val="2F0F3884"/>
    <w:rsid w:val="31A15F24"/>
    <w:rsid w:val="36FB1DF0"/>
    <w:rsid w:val="395347B5"/>
    <w:rsid w:val="39A232A0"/>
    <w:rsid w:val="39E745AA"/>
    <w:rsid w:val="3B5A6BBB"/>
    <w:rsid w:val="3CA154E3"/>
    <w:rsid w:val="3EDA13A6"/>
    <w:rsid w:val="3FF56C14"/>
    <w:rsid w:val="41576061"/>
    <w:rsid w:val="417B75E9"/>
    <w:rsid w:val="42430A63"/>
    <w:rsid w:val="42F058B7"/>
    <w:rsid w:val="436109F6"/>
    <w:rsid w:val="441A38D4"/>
    <w:rsid w:val="4504239D"/>
    <w:rsid w:val="48FA17E3"/>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8B83600"/>
    <w:rsid w:val="79C65162"/>
    <w:rsid w:val="79EE7E31"/>
    <w:rsid w:val="7BFB00C7"/>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uiPriority w:val="0"/>
    <w:pPr>
      <w:spacing w:afterLines="0" w:afterAutospacing="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4103</Words>
  <Characters>4203</Characters>
  <Lines>1</Lines>
  <Paragraphs>1</Paragraphs>
  <TotalTime>1</TotalTime>
  <ScaleCrop>false</ScaleCrop>
  <LinksUpToDate>false</LinksUpToDate>
  <CharactersWithSpaces>4223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张大娃要努力奋斗</cp:lastModifiedBy>
  <cp:lastPrinted>2022-06-06T16:09:00Z</cp:lastPrinted>
  <dcterms:modified xsi:type="dcterms:W3CDTF">2022-06-16T11:34:45Z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