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rPr>
          <w:rFonts w:ascii="Times New Roman" w:hAnsi="Times New Roman" w:eastAsia="方正黑体_GBK"/>
          <w:bCs/>
        </w:rPr>
      </w:pPr>
      <w:bookmarkStart w:id="0" w:name="remove_shape_1"/>
    </w:p>
    <w:p>
      <w:pPr>
        <w:spacing w:before="0" w:after="0" w:line="240" w:lineRule="auto"/>
        <w:rPr>
          <w:rFonts w:ascii="Times New Roman" w:hAnsi="Times New Roman" w:eastAsia="方正黑体_GBK"/>
          <w:bCs/>
        </w:rPr>
      </w:pPr>
    </w:p>
    <w:p>
      <w:pPr>
        <w:spacing w:before="0" w:after="0" w:line="240" w:lineRule="auto"/>
        <w:rPr>
          <w:rFonts w:ascii="Times New Roman" w:hAnsi="Times New Roman" w:eastAsia="方正黑体_GBK"/>
          <w:bCs/>
        </w:rPr>
      </w:pPr>
    </w:p>
    <w:bookmarkEnd w:id="0"/>
    <w:p>
      <w:pPr>
        <w:spacing w:before="0" w:after="0" w:line="240" w:lineRule="auto"/>
        <w:rPr>
          <w:bCs/>
        </w:rPr>
      </w:pPr>
    </w:p>
    <w:p>
      <w:pPr>
        <w:spacing w:before="0" w:after="0" w:line="240" w:lineRule="auto"/>
        <w:rPr>
          <w:bCs/>
        </w:rPr>
      </w:pPr>
    </w:p>
    <w:p>
      <w:pPr>
        <w:spacing w:before="0" w:after="0" w:line="240" w:lineRule="auto"/>
        <w:rPr>
          <w:bCs/>
        </w:rPr>
      </w:pPr>
    </w:p>
    <w:p>
      <w:pPr>
        <w:spacing w:before="0" w:after="0" w:line="240" w:lineRule="auto"/>
        <w:rPr>
          <w:bCs/>
        </w:rPr>
      </w:pPr>
    </w:p>
    <w:p>
      <w:pPr>
        <w:spacing w:before="0" w:after="0" w:line="240" w:lineRule="auto"/>
        <w:rPr>
          <w:bCs/>
        </w:rPr>
      </w:pPr>
    </w:p>
    <w:p>
      <w:pPr>
        <w:spacing w:before="0" w:after="0" w:line="240" w:lineRule="auto"/>
        <w:jc w:val="center"/>
        <w:rPr>
          <w:rFonts w:hint="eastAsia" w:cs="方正仿宋_GBK"/>
          <w:bCs/>
        </w:rPr>
      </w:pPr>
      <w:bookmarkStart w:id="1" w:name="s"/>
      <w:bookmarkEnd w:id="1"/>
      <w:r>
        <w:rPr>
          <w:rFonts w:hint="eastAsia" w:eastAsia="方正仿宋_GBK" w:cs="方正仿宋_GBK"/>
          <w:kern w:val="2"/>
        </w:rPr>
        <w:t>渝能源综〔2025〕21号</w:t>
      </w:r>
    </w:p>
    <w:p>
      <w:pPr>
        <w:spacing w:before="0" w:after="0" w:line="240" w:lineRule="auto"/>
        <w:jc w:val="left"/>
        <w:rPr>
          <w:bCs w:val="0"/>
        </w:rPr>
      </w:pPr>
    </w:p>
    <w:p>
      <w:pPr>
        <w:spacing w:line="240" w:lineRule="auto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suppressAutoHyphens/>
        <w:adjustRightInd/>
        <w:spacing w:before="0" w:after="0" w:line="578" w:lineRule="exact"/>
        <w:jc w:val="center"/>
        <w:textAlignment w:val="auto"/>
        <w:rPr>
          <w:rFonts w:hint="eastAsia" w:ascii="Times New Roman" w:hAnsi="Times New Roman" w:eastAsia="方正小标宋_GBK" w:cs="方正小标宋_GBK"/>
          <w:kern w:val="2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kern w:val="2"/>
          <w:sz w:val="44"/>
          <w:szCs w:val="44"/>
        </w:rPr>
        <w:t>重庆市能源局</w:t>
      </w:r>
    </w:p>
    <w:p>
      <w:pPr>
        <w:suppressAutoHyphens/>
        <w:adjustRightInd/>
        <w:spacing w:before="0" w:after="0" w:line="578" w:lineRule="exact"/>
        <w:jc w:val="center"/>
        <w:textAlignment w:val="auto"/>
        <w:rPr>
          <w:rFonts w:hint="eastAsia" w:ascii="Times New Roman" w:hAnsi="Times New Roman" w:eastAsia="方正小标宋_GBK" w:cs="方正小标宋_GBK"/>
          <w:kern w:val="2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kern w:val="2"/>
          <w:sz w:val="44"/>
          <w:szCs w:val="44"/>
        </w:rPr>
        <w:t>关于印发能源领域</w:t>
      </w:r>
      <w:r>
        <w:rPr>
          <w:rFonts w:hint="eastAsia" w:ascii="方正仿宋_GBK" w:hAnsi="方正仿宋_GBK" w:eastAsia="方正仿宋_GBK" w:cs="方正仿宋_GBK"/>
          <w:kern w:val="2"/>
          <w:sz w:val="44"/>
          <w:szCs w:val="44"/>
        </w:rPr>
        <w:t>“</w:t>
      </w:r>
      <w:r>
        <w:rPr>
          <w:rFonts w:hint="eastAsia" w:ascii="Times New Roman" w:hAnsi="Times New Roman" w:eastAsia="方正小标宋_GBK" w:cs="方正小标宋_GBK"/>
          <w:kern w:val="2"/>
          <w:sz w:val="44"/>
          <w:szCs w:val="44"/>
        </w:rPr>
        <w:t>抓项目扩投资</w:t>
      </w:r>
      <w:r>
        <w:rPr>
          <w:rFonts w:hint="eastAsia" w:ascii="方正仿宋_GBK" w:hAnsi="方正仿宋_GBK" w:eastAsia="方正仿宋_GBK" w:cs="方正仿宋_GBK"/>
          <w:kern w:val="2"/>
          <w:sz w:val="44"/>
          <w:szCs w:val="44"/>
        </w:rPr>
        <w:t>”</w:t>
      </w:r>
    </w:p>
    <w:p>
      <w:pPr>
        <w:suppressAutoHyphens/>
        <w:adjustRightInd/>
        <w:spacing w:before="0" w:after="0" w:line="578" w:lineRule="exact"/>
        <w:jc w:val="center"/>
        <w:textAlignment w:val="auto"/>
        <w:rPr>
          <w:rFonts w:hint="eastAsia" w:ascii="Times New Roman" w:hAnsi="Times New Roman" w:eastAsia="方正小标宋_GBK" w:cs="方正小标宋_GBK"/>
          <w:kern w:val="2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kern w:val="2"/>
          <w:sz w:val="44"/>
          <w:szCs w:val="44"/>
        </w:rPr>
        <w:t>“</w:t>
      </w:r>
      <w:r>
        <w:rPr>
          <w:rFonts w:hint="eastAsia" w:ascii="Times New Roman" w:hAnsi="Times New Roman" w:eastAsia="方正小标宋_GBK" w:cs="方正小标宋_GBK"/>
          <w:kern w:val="2"/>
          <w:sz w:val="44"/>
          <w:szCs w:val="44"/>
        </w:rPr>
        <w:t>百万千瓦屋顶分布式光伏</w:t>
      </w:r>
      <w:r>
        <w:rPr>
          <w:rFonts w:hint="eastAsia" w:ascii="方正仿宋_GBK" w:hAnsi="方正仿宋_GBK" w:eastAsia="方正仿宋_GBK" w:cs="方正仿宋_GBK"/>
          <w:kern w:val="2"/>
          <w:sz w:val="44"/>
          <w:szCs w:val="44"/>
        </w:rPr>
        <w:t>”</w:t>
      </w:r>
      <w:r>
        <w:rPr>
          <w:rFonts w:hint="eastAsia" w:ascii="Times New Roman" w:hAnsi="Times New Roman" w:eastAsia="方正小标宋_GBK" w:cs="方正小标宋_GBK"/>
          <w:kern w:val="2"/>
          <w:sz w:val="44"/>
          <w:szCs w:val="44"/>
        </w:rPr>
        <w:t>典型案例的通知</w:t>
      </w:r>
    </w:p>
    <w:p>
      <w:pPr>
        <w:suppressAutoHyphens/>
        <w:adjustRightInd/>
        <w:spacing w:before="0" w:after="0" w:line="578" w:lineRule="exact"/>
        <w:jc w:val="both"/>
        <w:textAlignment w:val="auto"/>
        <w:rPr>
          <w:rFonts w:hint="eastAsia" w:ascii="Times New Roman" w:hAnsi="Times New Roman" w:eastAsia="黑体" w:cs="黑体"/>
          <w:kern w:val="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0" w:firstLineChars="0"/>
        <w:textAlignment w:val="auto"/>
        <w:rPr>
          <w:rFonts w:hint="eastAsia"/>
          <w:kern w:val="2"/>
        </w:rPr>
      </w:pPr>
      <w:r>
        <w:rPr>
          <w:kern w:val="2"/>
        </w:rPr>
        <w:t>各区县（</w:t>
      </w:r>
      <w:r>
        <w:rPr>
          <w:rFonts w:hint="eastAsia"/>
          <w:kern w:val="2"/>
        </w:rPr>
        <w:t>自治县</w:t>
      </w:r>
      <w:r>
        <w:rPr>
          <w:kern w:val="2"/>
        </w:rPr>
        <w:t>）发展改革委</w:t>
      </w:r>
      <w:r>
        <w:rPr>
          <w:rFonts w:hint="eastAsia"/>
          <w:kern w:val="2"/>
        </w:rPr>
        <w:t>，</w:t>
      </w:r>
      <w:r>
        <w:rPr>
          <w:kern w:val="2"/>
        </w:rPr>
        <w:t>两江新区经济运行局、</w:t>
      </w:r>
      <w:r>
        <w:rPr>
          <w:rFonts w:hint="eastAsia"/>
          <w:kern w:val="2"/>
          <w:lang w:eastAsia="zh-CN"/>
        </w:rPr>
        <w:t>西部科学城</w:t>
      </w:r>
      <w:r>
        <w:rPr>
          <w:rFonts w:hint="eastAsia"/>
          <w:kern w:val="2"/>
        </w:rPr>
        <w:t>重庆</w:t>
      </w:r>
      <w:r>
        <w:rPr>
          <w:kern w:val="2"/>
        </w:rPr>
        <w:t>高新区改革发展局、万盛经开区发展改革局，各有关企业：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/>
          <w:kern w:val="2"/>
        </w:rPr>
      </w:pPr>
      <w:r>
        <w:rPr>
          <w:rFonts w:hint="eastAsia"/>
          <w:kern w:val="2"/>
        </w:rPr>
        <w:t>为总结推广能源领域</w:t>
      </w:r>
      <w:r>
        <w:rPr>
          <w:rFonts w:hint="eastAsia" w:ascii="方正仿宋_GBK" w:hAnsi="方正仿宋_GBK" w:cs="方正仿宋_GBK"/>
          <w:kern w:val="2"/>
        </w:rPr>
        <w:t>“</w:t>
      </w:r>
      <w:r>
        <w:rPr>
          <w:rFonts w:hint="eastAsia"/>
          <w:kern w:val="2"/>
        </w:rPr>
        <w:t>抓项目扩投资</w:t>
      </w:r>
      <w:r>
        <w:rPr>
          <w:rFonts w:hint="eastAsia" w:ascii="方正仿宋_GBK" w:hAnsi="方正仿宋_GBK" w:cs="方正仿宋_GBK"/>
          <w:kern w:val="2"/>
        </w:rPr>
        <w:t>”</w:t>
      </w:r>
      <w:r>
        <w:rPr>
          <w:rFonts w:hint="eastAsia"/>
          <w:kern w:val="2"/>
        </w:rPr>
        <w:t>和</w:t>
      </w:r>
      <w:r>
        <w:rPr>
          <w:rFonts w:hint="eastAsia" w:ascii="方正仿宋_GBK" w:hAnsi="方正仿宋_GBK" w:cs="方正仿宋_GBK"/>
          <w:kern w:val="2"/>
        </w:rPr>
        <w:t>“</w:t>
      </w:r>
      <w:r>
        <w:rPr>
          <w:rFonts w:hint="eastAsia"/>
          <w:kern w:val="2"/>
        </w:rPr>
        <w:t>百万千瓦屋顶分布式光伏</w:t>
      </w:r>
      <w:r>
        <w:rPr>
          <w:rFonts w:hint="eastAsia" w:ascii="方正仿宋_GBK" w:hAnsi="方正仿宋_GBK" w:cs="方正仿宋_GBK"/>
          <w:kern w:val="2"/>
        </w:rPr>
        <w:t>”</w:t>
      </w:r>
      <w:r>
        <w:rPr>
          <w:rFonts w:hint="eastAsia"/>
          <w:kern w:val="2"/>
        </w:rPr>
        <w:t>建设的典型经验与创新成果，进一步激发能源投资活力，加快构建全市新型能源体系，市能源局组织开展了全市能源领域</w:t>
      </w:r>
      <w:r>
        <w:rPr>
          <w:rFonts w:hint="eastAsia" w:ascii="方正仿宋_GBK" w:hAnsi="方正仿宋_GBK" w:cs="方正仿宋_GBK"/>
          <w:kern w:val="2"/>
        </w:rPr>
        <w:t>“</w:t>
      </w:r>
      <w:r>
        <w:rPr>
          <w:rFonts w:hint="eastAsia"/>
          <w:kern w:val="2"/>
        </w:rPr>
        <w:t>抓项目扩投资</w:t>
      </w:r>
      <w:r>
        <w:rPr>
          <w:rFonts w:hint="eastAsia" w:ascii="方正仿宋_GBK" w:hAnsi="方正仿宋_GBK" w:cs="方正仿宋_GBK"/>
          <w:kern w:val="2"/>
        </w:rPr>
        <w:t>”</w:t>
      </w:r>
      <w:r>
        <w:rPr>
          <w:rFonts w:hint="eastAsia" w:ascii="方正仿宋_GBK" w:hAnsi="方正仿宋_GBK" w:cs="方正仿宋_GBK"/>
          <w:kern w:val="2"/>
        </w:rPr>
        <w:t>“</w:t>
      </w:r>
      <w:r>
        <w:rPr>
          <w:rFonts w:hint="eastAsia"/>
          <w:kern w:val="2"/>
        </w:rPr>
        <w:t>百万千瓦屋顶分布式光伏</w:t>
      </w:r>
      <w:r>
        <w:rPr>
          <w:rFonts w:hint="eastAsia" w:ascii="方正仿宋_GBK" w:hAnsi="方正仿宋_GBK" w:cs="方正仿宋_GBK"/>
          <w:kern w:val="2"/>
        </w:rPr>
        <w:t>”</w:t>
      </w:r>
      <w:r>
        <w:rPr>
          <w:rFonts w:hint="eastAsia"/>
          <w:kern w:val="2"/>
        </w:rPr>
        <w:t>典型案例征集活动。</w:t>
      </w:r>
    </w:p>
    <w:p>
      <w:pPr>
        <w:suppressAutoHyphens/>
        <w:overflowPunct w:val="0"/>
        <w:adjustRightInd/>
        <w:spacing w:before="0" w:after="0" w:line="240" w:lineRule="auto"/>
        <w:ind w:firstLine="632" w:firstLineChars="200"/>
        <w:textAlignment w:val="auto"/>
        <w:rPr>
          <w:rFonts w:hint="eastAsia"/>
        </w:rPr>
      </w:pPr>
      <w:r>
        <w:rPr>
          <w:rFonts w:hint="eastAsia"/>
        </w:rPr>
        <w:t>经评选，</w:t>
      </w:r>
      <w:r>
        <w:rPr>
          <w:rFonts w:hint="eastAsia" w:ascii="方正仿宋_GBK" w:hAnsi="方正仿宋_GBK" w:cs="方正仿宋_GBK"/>
        </w:rPr>
        <w:t>“</w:t>
      </w:r>
      <w:r>
        <w:rPr>
          <w:rFonts w:hint="eastAsia"/>
        </w:rPr>
        <w:t>云阳县抓项目扩投资，打造‘双示范、一标杆’工程</w:t>
      </w:r>
      <w:r>
        <w:rPr>
          <w:rFonts w:hint="eastAsia" w:ascii="方正仿宋_GBK" w:hAnsi="方正仿宋_GBK" w:cs="方正仿宋_GBK"/>
        </w:rPr>
        <w:t>”</w:t>
      </w:r>
      <w:r>
        <w:rPr>
          <w:rFonts w:hint="eastAsia"/>
        </w:rPr>
        <w:t>等10个案例入选能源领域</w:t>
      </w:r>
      <w:r>
        <w:rPr>
          <w:rFonts w:hint="eastAsia" w:ascii="方正仿宋_GBK" w:hAnsi="方正仿宋_GBK" w:cs="方正仿宋_GBK"/>
        </w:rPr>
        <w:t>“</w:t>
      </w:r>
      <w:r>
        <w:rPr>
          <w:rFonts w:hint="eastAsia"/>
        </w:rPr>
        <w:t>抓项目扩投资</w:t>
      </w:r>
      <w:r>
        <w:rPr>
          <w:rFonts w:hint="eastAsia" w:ascii="方正仿宋_GBK" w:hAnsi="方正仿宋_GBK" w:cs="方正仿宋_GBK"/>
        </w:rPr>
        <w:t>”</w:t>
      </w:r>
      <w:r>
        <w:rPr>
          <w:rFonts w:hint="eastAsia"/>
        </w:rPr>
        <w:t>典型案例，</w:t>
      </w:r>
      <w:r>
        <w:rPr>
          <w:rFonts w:hint="eastAsia" w:ascii="方正仿宋_GBK" w:hAnsi="方正仿宋_GBK" w:cs="方正仿宋_GBK"/>
        </w:rPr>
        <w:t>“</w:t>
      </w:r>
      <w:r>
        <w:rPr>
          <w:rFonts w:hint="eastAsia"/>
        </w:rPr>
        <w:t>彭水苗族土家族自治县</w:t>
      </w:r>
      <w:r>
        <w:rPr>
          <w:rFonts w:hint="eastAsia" w:ascii="Times New Roman" w:hAnsi="Times New Roman" w:cs="方正仿宋_GBK"/>
          <w:kern w:val="2"/>
          <w:sz w:val="30"/>
          <w:szCs w:val="30"/>
        </w:rPr>
        <w:t>屋顶分布式光伏试点项目</w:t>
      </w:r>
      <w:r>
        <w:rPr>
          <w:rFonts w:hint="eastAsia" w:ascii="方正仿宋_GBK" w:hAnsi="方正仿宋_GBK" w:cs="方正仿宋_GBK"/>
        </w:rPr>
        <w:t>”</w:t>
      </w:r>
      <w:r>
        <w:rPr>
          <w:rFonts w:hint="eastAsia"/>
        </w:rPr>
        <w:t>等8个案例入选</w:t>
      </w:r>
      <w:r>
        <w:rPr>
          <w:rFonts w:hint="eastAsia" w:ascii="方正仿宋_GBK" w:hAnsi="方正仿宋_GBK" w:cs="方正仿宋_GBK"/>
        </w:rPr>
        <w:t>“</w:t>
      </w:r>
      <w:r>
        <w:rPr>
          <w:rFonts w:hint="eastAsia"/>
        </w:rPr>
        <w:t>百万千瓦屋顶分布式光伏</w:t>
      </w:r>
      <w:r>
        <w:rPr>
          <w:rFonts w:hint="eastAsia" w:ascii="方正仿宋_GBK" w:hAnsi="方正仿宋_GBK" w:cs="方正仿宋_GBK"/>
        </w:rPr>
        <w:t>”</w:t>
      </w:r>
      <w:r>
        <w:rPr>
          <w:rFonts w:hint="eastAsia"/>
        </w:rPr>
        <w:t>典型案例，现予以印发。</w:t>
      </w:r>
    </w:p>
    <w:p>
      <w:pPr>
        <w:suppressAutoHyphens/>
        <w:overflowPunct w:val="0"/>
        <w:adjustRightInd/>
        <w:spacing w:before="0" w:after="0" w:line="240" w:lineRule="auto"/>
        <w:ind w:firstLine="632" w:firstLineChars="200"/>
        <w:textAlignment w:val="auto"/>
        <w:rPr>
          <w:rFonts w:hint="eastAsia"/>
        </w:rPr>
      </w:pPr>
      <w:r>
        <w:rPr>
          <w:rFonts w:hint="eastAsia"/>
        </w:rPr>
        <w:t>希望各单位再接再厉，打造更多可复制可推广的先进经验，持续营造赛马比拼、唯实争先的浓厚氛围，凝聚能源领域建设提速、投资扩能、创新发展的强大动力，助力现代化新重庆能源高质量发展。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  <w:rPr>
          <w:rFonts w:hint="eastAsia"/>
          <w:kern w:val="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  <w:rPr>
          <w:rFonts w:hint="eastAsia"/>
          <w:kern w:val="2"/>
        </w:rPr>
      </w:pPr>
      <w:r>
        <w:rPr>
          <w:rFonts w:hint="eastAsia"/>
          <w:kern w:val="2"/>
        </w:rPr>
        <w:t>附件：1</w:t>
      </w:r>
      <w:r>
        <w:rPr>
          <w:rFonts w:hint="eastAsia"/>
          <w:kern w:val="2"/>
          <w:lang w:eastAsia="zh-CN"/>
        </w:rPr>
        <w:t>．</w:t>
      </w:r>
      <w:r>
        <w:rPr>
          <w:rFonts w:hint="eastAsia"/>
          <w:kern w:val="2"/>
        </w:rPr>
        <w:t>能源领域</w:t>
      </w:r>
      <w:r>
        <w:rPr>
          <w:rFonts w:hint="eastAsia" w:ascii="方正仿宋_GBK" w:hAnsi="方正仿宋_GBK" w:cs="方正仿宋_GBK"/>
          <w:kern w:val="2"/>
        </w:rPr>
        <w:t>“</w:t>
      </w:r>
      <w:r>
        <w:rPr>
          <w:rFonts w:hint="eastAsia"/>
          <w:kern w:val="2"/>
        </w:rPr>
        <w:t>抓项目扩投资</w:t>
      </w:r>
      <w:r>
        <w:rPr>
          <w:rFonts w:hint="eastAsia" w:ascii="方正仿宋_GBK" w:hAnsi="方正仿宋_GBK" w:cs="方正仿宋_GBK"/>
          <w:kern w:val="2"/>
        </w:rPr>
        <w:t>”</w:t>
      </w:r>
      <w:r>
        <w:rPr>
          <w:rFonts w:hint="eastAsia"/>
          <w:kern w:val="2"/>
        </w:rPr>
        <w:t>典型案例名单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firstLine="1580" w:firstLineChars="500"/>
        <w:jc w:val="both"/>
        <w:textAlignment w:val="auto"/>
        <w:rPr>
          <w:rFonts w:hint="eastAsia"/>
          <w:kern w:val="2"/>
        </w:rPr>
      </w:pPr>
      <w:r>
        <w:rPr>
          <w:rFonts w:hint="eastAsia"/>
          <w:kern w:val="2"/>
        </w:rPr>
        <w:t>2</w:t>
      </w:r>
      <w:r>
        <w:rPr>
          <w:rFonts w:hint="eastAsia"/>
          <w:kern w:val="2"/>
          <w:lang w:eastAsia="zh-CN"/>
        </w:rPr>
        <w:t>．</w:t>
      </w:r>
      <w:r>
        <w:rPr>
          <w:rFonts w:hint="eastAsia" w:ascii="方正仿宋_GBK" w:hAnsi="方正仿宋_GBK" w:cs="方正仿宋_GBK"/>
          <w:kern w:val="2"/>
        </w:rPr>
        <w:t>“</w:t>
      </w:r>
      <w:r>
        <w:rPr>
          <w:rFonts w:hint="eastAsia"/>
          <w:kern w:val="2"/>
        </w:rPr>
        <w:t>百万千瓦屋顶分布式光伏</w:t>
      </w:r>
      <w:r>
        <w:rPr>
          <w:rFonts w:hint="eastAsia" w:ascii="方正仿宋_GBK" w:hAnsi="方正仿宋_GBK" w:cs="方正仿宋_GBK"/>
          <w:kern w:val="2"/>
        </w:rPr>
        <w:t>”</w:t>
      </w:r>
      <w:r>
        <w:rPr>
          <w:rFonts w:hint="eastAsia"/>
          <w:kern w:val="2"/>
        </w:rPr>
        <w:t>典型案例名单</w:t>
      </w:r>
    </w:p>
    <w:p>
      <w:pPr>
        <w:adjustRightInd/>
        <w:spacing w:before="0" w:after="0" w:line="578" w:lineRule="exact"/>
        <w:textAlignment w:val="auto"/>
        <w:rPr>
          <w:rFonts w:hint="default" w:eastAsia="宋体"/>
          <w:color w:val="auto"/>
          <w:kern w:val="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jc w:val="both"/>
        <w:textAlignment w:val="auto"/>
        <w:rPr>
          <w:kern w:val="2"/>
        </w:rPr>
      </w:pPr>
    </w:p>
    <w:p>
      <w:pPr>
        <w:suppressAutoHyphens/>
        <w:adjustRightInd/>
        <w:spacing w:before="0" w:after="0" w:line="578" w:lineRule="exact"/>
        <w:textAlignment w:val="auto"/>
        <w:rPr>
          <w:kern w:val="2"/>
        </w:rPr>
      </w:pPr>
    </w:p>
    <w:p>
      <w:pPr>
        <w:suppressAutoHyphens/>
        <w:adjustRightInd/>
        <w:spacing w:before="0" w:after="0" w:line="240" w:lineRule="auto"/>
        <w:ind w:firstLine="5372" w:firstLineChars="1700"/>
        <w:textAlignment w:val="auto"/>
        <w:rPr>
          <w:rFonts w:hint="eastAsia" w:cs="方正仿宋_GBK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kern w:val="2"/>
        </w:rPr>
        <w:t>重庆市能源局</w:t>
      </w:r>
    </w:p>
    <w:p>
      <w:pPr>
        <w:adjustRightInd/>
        <w:spacing w:before="0" w:after="0" w:line="260" w:lineRule="auto"/>
        <w:ind w:firstLine="5214" w:firstLineChars="1650"/>
        <w:textAlignment w:val="auto"/>
        <w:rPr>
          <w:rFonts w:hint="eastAsia" w:ascii="Times New Roman" w:hAnsi="Times New Roman" w:cs="方正仿宋_GBK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</w:rPr>
        <w:t>2025年3月</w:t>
      </w:r>
      <w:r>
        <w:rPr>
          <w:rFonts w:hint="eastAsia" w:ascii="Times New Roman" w:hAnsi="Times New Roman" w:cs="方正仿宋_GBK"/>
          <w:kern w:val="2"/>
          <w:sz w:val="32"/>
          <w:szCs w:val="32"/>
          <w:lang w:eastAsia="zh-CN"/>
        </w:rPr>
        <w:t>1</w:t>
      </w:r>
      <w:r>
        <w:rPr>
          <w:rFonts w:hint="eastAsia" w:ascii="Times New Roman" w:hAnsi="Times New Roman" w:cs="方正仿宋_GBK"/>
          <w:kern w:val="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</w:rPr>
        <w:t>日</w:t>
      </w:r>
      <w:r>
        <w:rPr>
          <w:rFonts w:hint="eastAsia" w:ascii="Times New Roman" w:hAnsi="Times New Roman" w:cs="方正仿宋_GBK"/>
          <w:kern w:val="2"/>
          <w:sz w:val="32"/>
          <w:szCs w:val="32"/>
          <w:lang w:val="en-US" w:eastAsia="zh-CN"/>
        </w:rPr>
        <w:t xml:space="preserve">      </w:t>
      </w:r>
    </w:p>
    <w:p>
      <w:pPr>
        <w:adjustRightInd/>
        <w:spacing w:before="0" w:after="0" w:line="260" w:lineRule="auto"/>
        <w:ind w:firstLine="5214" w:firstLineChars="1650"/>
        <w:textAlignment w:val="auto"/>
        <w:rPr>
          <w:rFonts w:hint="eastAsia" w:ascii="Times New Roman" w:hAnsi="Times New Roman" w:cs="方正仿宋_GBK"/>
          <w:kern w:val="2"/>
          <w:sz w:val="32"/>
          <w:szCs w:val="32"/>
          <w:lang w:val="en-US" w:eastAsia="zh-CN"/>
        </w:rPr>
      </w:pPr>
    </w:p>
    <w:p>
      <w:pPr>
        <w:adjustRightInd/>
        <w:spacing w:before="0" w:after="0" w:line="260" w:lineRule="auto"/>
        <w:ind w:firstLine="5214" w:firstLineChars="1650"/>
        <w:textAlignment w:val="auto"/>
        <w:rPr>
          <w:rFonts w:hint="default" w:ascii="Times New Roman" w:hAnsi="Times New Roman" w:cs="方正仿宋_GBK"/>
          <w:kern w:val="2"/>
          <w:lang w:val="en-US" w:eastAsia="zh-CN"/>
        </w:rPr>
        <w:sectPr>
          <w:footerReference r:id="rId5" w:type="default"/>
          <w:pgSz w:w="11906" w:h="16838"/>
          <w:pgMar w:top="2098" w:right="1531" w:bottom="1984" w:left="1531" w:header="851" w:footer="1417" w:gutter="0"/>
          <w:pgNumType w:fmt="decimal"/>
          <w:cols w:space="0" w:num="1"/>
          <w:rtlGutter w:val="0"/>
          <w:docGrid w:type="linesAndChars" w:linePitch="579" w:charSpace="-849"/>
        </w:sectPr>
      </w:pP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Times New Roman" w:hAnsi="Times New Roman" w:eastAsia="方正黑体_GBK" w:cs="方正黑体_GBK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kern w:val="2"/>
          <w:sz w:val="32"/>
          <w:szCs w:val="32"/>
        </w:rPr>
        <w:t>附件1</w:t>
      </w:r>
    </w:p>
    <w:p>
      <w:pPr>
        <w:suppressAutoHyphens/>
        <w:bidi w:val="0"/>
        <w:adjustRightInd/>
        <w:spacing w:before="0" w:after="0" w:line="240" w:lineRule="auto"/>
        <w:textAlignment w:val="auto"/>
        <w:rPr>
          <w:rFonts w:hint="eastAsia" w:eastAsia="宋体"/>
          <w:kern w:val="2"/>
          <w:lang w:val="en-US" w:eastAsia="zh-CN"/>
        </w:rPr>
      </w:pP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jc w:val="center"/>
        <w:textAlignment w:val="auto"/>
        <w:rPr>
          <w:rFonts w:hint="eastAsia" w:ascii="Times New Roman" w:hAnsi="Times New Roman" w:eastAsia="方正小标宋_GBK" w:cs="方正小标宋_GBK"/>
          <w:kern w:val="2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kern w:val="2"/>
          <w:sz w:val="44"/>
          <w:szCs w:val="44"/>
        </w:rPr>
        <w:t>能源领域</w:t>
      </w:r>
      <w:r>
        <w:rPr>
          <w:rFonts w:hint="eastAsia" w:ascii="方正仿宋_GBK" w:hAnsi="方正仿宋_GBK" w:eastAsia="方正仿宋_GBK" w:cs="方正仿宋_GBK"/>
          <w:kern w:val="2"/>
          <w:sz w:val="44"/>
          <w:szCs w:val="44"/>
        </w:rPr>
        <w:t>“</w:t>
      </w:r>
      <w:r>
        <w:rPr>
          <w:rFonts w:hint="eastAsia" w:ascii="Times New Roman" w:hAnsi="Times New Roman" w:eastAsia="方正小标宋_GBK" w:cs="方正小标宋_GBK"/>
          <w:kern w:val="2"/>
          <w:sz w:val="44"/>
          <w:szCs w:val="44"/>
        </w:rPr>
        <w:t>抓项目扩投资</w:t>
      </w:r>
      <w:r>
        <w:rPr>
          <w:rFonts w:hint="eastAsia" w:ascii="方正仿宋_GBK" w:hAnsi="方正仿宋_GBK" w:eastAsia="方正仿宋_GBK" w:cs="方正仿宋_GBK"/>
          <w:kern w:val="2"/>
          <w:sz w:val="44"/>
          <w:szCs w:val="44"/>
        </w:rPr>
        <w:t>”</w:t>
      </w:r>
      <w:r>
        <w:rPr>
          <w:rFonts w:hint="eastAsia" w:ascii="Times New Roman" w:hAnsi="Times New Roman" w:eastAsia="方正小标宋_GBK" w:cs="方正小标宋_GBK"/>
          <w:kern w:val="2"/>
          <w:sz w:val="44"/>
          <w:szCs w:val="44"/>
        </w:rPr>
        <w:t>典型案例名单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tbl>
      <w:tblPr>
        <w:tblStyle w:val="9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3000"/>
        <w:gridCol w:w="5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tblHeader/>
          <w:jc w:val="center"/>
        </w:trPr>
        <w:tc>
          <w:tcPr>
            <w:tcW w:w="1044" w:type="dxa"/>
            <w:vAlign w:val="center"/>
          </w:tcPr>
          <w:p>
            <w:pPr>
              <w:suppressAutoHyphens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kern w:val="2"/>
                <w:sz w:val="28"/>
                <w:szCs w:val="28"/>
              </w:rPr>
              <w:t>序号</w:t>
            </w:r>
          </w:p>
        </w:tc>
        <w:tc>
          <w:tcPr>
            <w:tcW w:w="3000" w:type="dxa"/>
            <w:vAlign w:val="center"/>
          </w:tcPr>
          <w:p>
            <w:pPr>
              <w:suppressAutoHyphens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kern w:val="2"/>
                <w:sz w:val="28"/>
                <w:szCs w:val="28"/>
              </w:rPr>
              <w:t>申报单位</w:t>
            </w:r>
          </w:p>
        </w:tc>
        <w:tc>
          <w:tcPr>
            <w:tcW w:w="5088" w:type="dxa"/>
            <w:vAlign w:val="center"/>
          </w:tcPr>
          <w:p>
            <w:pPr>
              <w:suppressAutoHyphens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kern w:val="2"/>
                <w:sz w:val="28"/>
                <w:szCs w:val="28"/>
              </w:rPr>
              <w:t>案例名称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default" w:ascii="Times New Roman" w:hAnsi="Times New Roman" w:cs="方正仿宋_GBK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cs="方正仿宋_GBK"/>
                <w:kern w:val="2"/>
                <w:sz w:val="28"/>
                <w:szCs w:val="28"/>
              </w:rPr>
              <w:t>云阳县发展和改革委员会</w:t>
            </w:r>
          </w:p>
        </w:tc>
        <w:tc>
          <w:tcPr>
            <w:tcW w:w="5088" w:type="dxa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default" w:ascii="Times New Roman" w:hAnsi="Times New Roman" w:cs="方正仿宋_GBK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cs="方正仿宋_GBK"/>
                <w:kern w:val="2"/>
                <w:sz w:val="28"/>
                <w:szCs w:val="28"/>
              </w:rPr>
              <w:t>抓项目扩投资，打造</w:t>
            </w:r>
            <w:r>
              <w:rPr>
                <w:rFonts w:hint="eastAsia" w:ascii="方正仿宋_GBK" w:hAnsi="方正仿宋_GBK" w:cs="方正仿宋_GBK"/>
                <w:kern w:val="2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cs="方正仿宋_GBK"/>
                <w:kern w:val="2"/>
                <w:sz w:val="28"/>
                <w:szCs w:val="28"/>
              </w:rPr>
              <w:t>双示范、一标杆</w:t>
            </w:r>
            <w:r>
              <w:rPr>
                <w:rFonts w:hint="eastAsia" w:ascii="方正仿宋_GBK" w:hAnsi="方正仿宋_GBK" w:cs="方正仿宋_GBK"/>
                <w:kern w:val="2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cs="方正仿宋_GBK"/>
                <w:kern w:val="2"/>
                <w:sz w:val="28"/>
                <w:szCs w:val="28"/>
              </w:rPr>
              <w:t>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default" w:ascii="Times New Roman" w:hAnsi="Times New Roman" w:cs="方正仿宋_GBK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cs="方正仿宋_GBK"/>
                <w:kern w:val="2"/>
                <w:sz w:val="28"/>
                <w:szCs w:val="28"/>
              </w:rPr>
              <w:t>石柱土家族自治县发展和改革委员会</w:t>
            </w:r>
          </w:p>
        </w:tc>
        <w:tc>
          <w:tcPr>
            <w:tcW w:w="5088" w:type="dxa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default" w:ascii="Times New Roman" w:hAnsi="Times New Roman" w:cs="方正仿宋_GBK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cs="方正仿宋_GBK"/>
                <w:kern w:val="2"/>
                <w:sz w:val="28"/>
                <w:szCs w:val="28"/>
              </w:rPr>
              <w:t>构建多能互补能源体系 全力推动清洁能源基地建设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default" w:ascii="Times New Roman" w:hAnsi="Times New Roman" w:cs="方正仿宋_GBK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cs="方正仿宋_GBK"/>
                <w:kern w:val="2"/>
                <w:sz w:val="28"/>
                <w:szCs w:val="28"/>
              </w:rPr>
              <w:t>丰都县发展和改革委员会</w:t>
            </w:r>
          </w:p>
        </w:tc>
        <w:tc>
          <w:tcPr>
            <w:tcW w:w="50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default" w:ascii="Times New Roman" w:hAnsi="Times New Roman" w:cs="方正仿宋_GBK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cs="方正仿宋_GBK"/>
                <w:kern w:val="2"/>
                <w:sz w:val="28"/>
                <w:szCs w:val="28"/>
              </w:rPr>
              <w:t>丰都县量质齐抓促能源投资倍速增长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default" w:ascii="Times New Roman" w:hAnsi="Times New Roman" w:cs="方正仿宋_GBK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cs="方正仿宋_GBK"/>
                <w:kern w:val="2"/>
                <w:sz w:val="28"/>
                <w:szCs w:val="28"/>
              </w:rPr>
              <w:t>中国大唐集团重庆分公司</w:t>
            </w:r>
          </w:p>
        </w:tc>
        <w:tc>
          <w:tcPr>
            <w:tcW w:w="50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default" w:ascii="Times New Roman" w:hAnsi="Times New Roman" w:cs="方正仿宋_GBK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cs="方正仿宋_GBK"/>
                <w:sz w:val="28"/>
                <w:szCs w:val="28"/>
              </w:rPr>
              <w:t>探索气电项目建设新模式赋能绿色转型新发展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default" w:ascii="Times New Roman" w:hAnsi="Times New Roman" w:cs="方正仿宋_GBK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cs="方正仿宋_GBK"/>
                <w:kern w:val="2"/>
                <w:sz w:val="28"/>
                <w:szCs w:val="28"/>
              </w:rPr>
              <w:t>国网重庆电力公司</w:t>
            </w:r>
          </w:p>
        </w:tc>
        <w:tc>
          <w:tcPr>
            <w:tcW w:w="5088" w:type="dxa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default" w:ascii="Times New Roman" w:hAnsi="Times New Roman" w:cs="方正仿宋_GBK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cs="方正仿宋_GBK"/>
                <w:kern w:val="2"/>
                <w:sz w:val="28"/>
                <w:szCs w:val="28"/>
              </w:rPr>
              <w:t>基于</w:t>
            </w:r>
            <w:r>
              <w:rPr>
                <w:rFonts w:hint="eastAsia" w:ascii="方正仿宋_GBK" w:hAnsi="方正仿宋_GBK" w:cs="方正仿宋_GBK"/>
                <w:kern w:val="2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cs="方正仿宋_GBK"/>
                <w:kern w:val="2"/>
                <w:sz w:val="28"/>
                <w:szCs w:val="28"/>
              </w:rPr>
              <w:t>一轴两化五融合</w:t>
            </w:r>
            <w:r>
              <w:rPr>
                <w:rFonts w:hint="eastAsia" w:ascii="方正仿宋_GBK" w:hAnsi="方正仿宋_GBK" w:cs="方正仿宋_GBK"/>
                <w:kern w:val="2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cs="方正仿宋_GBK"/>
                <w:kern w:val="2"/>
                <w:sz w:val="28"/>
                <w:szCs w:val="28"/>
              </w:rPr>
              <w:t>的电网建设两个前期协同创新实践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default" w:ascii="Times New Roman" w:hAnsi="Times New Roman" w:cs="方正仿宋_GBK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cs="方正仿宋_GBK"/>
                <w:kern w:val="2"/>
                <w:sz w:val="28"/>
                <w:szCs w:val="28"/>
              </w:rPr>
              <w:t>国家电投集团重庆电力有限公司</w:t>
            </w:r>
          </w:p>
        </w:tc>
        <w:tc>
          <w:tcPr>
            <w:tcW w:w="5088" w:type="dxa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default" w:ascii="Times New Roman" w:hAnsi="Times New Roman" w:cs="方正仿宋_GBK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kern w:val="2"/>
                <w:sz w:val="28"/>
                <w:szCs w:val="28"/>
              </w:rPr>
              <w:t>“</w:t>
            </w: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7.30</w:t>
            </w:r>
            <w:r>
              <w:rPr>
                <w:rFonts w:hint="eastAsia" w:ascii="方正仿宋_GBK" w:hAnsi="方正仿宋_GBK" w:cs="方正仿宋_GBK"/>
                <w:kern w:val="2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cs="方正仿宋_GBK"/>
                <w:kern w:val="2"/>
                <w:sz w:val="28"/>
                <w:szCs w:val="28"/>
              </w:rPr>
              <w:t>顶峰行动重点项目案例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default" w:ascii="Times New Roman" w:hAnsi="Times New Roman" w:cs="方正仿宋_GBK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cs="方正仿宋_GBK"/>
                <w:kern w:val="2"/>
                <w:sz w:val="28"/>
                <w:szCs w:val="28"/>
              </w:rPr>
              <w:t>重庆涪陵聚龙电力有限公司</w:t>
            </w:r>
          </w:p>
        </w:tc>
        <w:tc>
          <w:tcPr>
            <w:tcW w:w="5088" w:type="dxa"/>
            <w:vAlign w:val="center"/>
          </w:tcPr>
          <w:p>
            <w:pPr>
              <w:keepNext/>
              <w:keepLines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outlineLvl w:val="0"/>
              <w:rPr>
                <w:rFonts w:hint="default" w:ascii="Times New Roman" w:hAnsi="Times New Roman" w:cs="方正仿宋_GBK"/>
                <w:b w:val="0"/>
                <w:bCs w:val="0"/>
                <w:kern w:val="44"/>
                <w:sz w:val="28"/>
                <w:szCs w:val="28"/>
              </w:rPr>
            </w:pPr>
            <w:r>
              <w:rPr>
                <w:rFonts w:hint="default" w:ascii="Times New Roman" w:hAnsi="Times New Roman" w:cs="方正仿宋_GBK"/>
                <w:kern w:val="2"/>
                <w:sz w:val="28"/>
                <w:szCs w:val="28"/>
              </w:rPr>
              <w:t>聚力清洁能源转型 打造</w:t>
            </w:r>
            <w:r>
              <w:rPr>
                <w:rFonts w:hint="eastAsia" w:ascii="方正仿宋_GBK" w:hAnsi="方正仿宋_GBK" w:cs="方正仿宋_GBK"/>
                <w:kern w:val="2"/>
                <w:sz w:val="28"/>
                <w:szCs w:val="28"/>
              </w:rPr>
              <w:t>“</w:t>
            </w:r>
            <w:r>
              <w:rPr>
                <w:rFonts w:hint="default" w:ascii="Times New Roman" w:hAnsi="Times New Roman" w:cs="方正仿宋_GBK"/>
                <w:kern w:val="2"/>
                <w:sz w:val="28"/>
                <w:szCs w:val="28"/>
              </w:rPr>
              <w:t>双碳</w:t>
            </w:r>
            <w:r>
              <w:rPr>
                <w:rFonts w:hint="eastAsia" w:ascii="方正仿宋_GBK" w:hAnsi="方正仿宋_GBK" w:cs="方正仿宋_GBK"/>
                <w:kern w:val="2"/>
                <w:sz w:val="28"/>
                <w:szCs w:val="28"/>
              </w:rPr>
              <w:t>”</w:t>
            </w:r>
            <w:r>
              <w:rPr>
                <w:rFonts w:hint="default" w:ascii="Times New Roman" w:hAnsi="Times New Roman" w:cs="方正仿宋_GBK"/>
                <w:kern w:val="2"/>
                <w:sz w:val="28"/>
                <w:szCs w:val="28"/>
              </w:rPr>
              <w:t>示范标杆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default" w:ascii="Times New Roman" w:hAnsi="Times New Roman" w:cs="方正仿宋_GBK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cs="方正仿宋_GBK"/>
                <w:kern w:val="2"/>
                <w:sz w:val="28"/>
                <w:szCs w:val="28"/>
              </w:rPr>
              <w:t>中核汇能重庆能源有限公司</w:t>
            </w:r>
          </w:p>
        </w:tc>
        <w:tc>
          <w:tcPr>
            <w:tcW w:w="508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firstLine="0"/>
              <w:textAlignment w:val="auto"/>
              <w:rPr>
                <w:rFonts w:hint="default" w:ascii="Times New Roman" w:hAnsi="Times New Roman" w:cs="方正仿宋_GBK"/>
                <w:b w:val="0"/>
                <w:bCs w:val="0"/>
                <w:kern w:val="44"/>
                <w:sz w:val="28"/>
                <w:szCs w:val="28"/>
              </w:rPr>
            </w:pPr>
            <w:r>
              <w:rPr>
                <w:rFonts w:hint="default" w:ascii="Times New Roman" w:hAnsi="Times New Roman" w:cs="方正仿宋_GBK"/>
                <w:kern w:val="2"/>
                <w:sz w:val="28"/>
                <w:szCs w:val="28"/>
              </w:rPr>
              <w:t>石柱六塘一期风电项目典型案例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default" w:ascii="Times New Roman" w:hAnsi="Times New Roman" w:cs="方正仿宋_GBK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cs="方正仿宋_GBK"/>
                <w:kern w:val="2"/>
                <w:sz w:val="28"/>
                <w:szCs w:val="28"/>
              </w:rPr>
              <w:t>中石化重庆涪陵页岩气勘探开发有限公司</w:t>
            </w:r>
          </w:p>
        </w:tc>
        <w:tc>
          <w:tcPr>
            <w:tcW w:w="5088" w:type="dxa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default" w:ascii="Times New Roman" w:hAnsi="Times New Roman" w:cs="方正仿宋_GBK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cs="方正仿宋_GBK"/>
                <w:kern w:val="2"/>
                <w:sz w:val="28"/>
                <w:szCs w:val="28"/>
              </w:rPr>
              <w:t>提升项目建设加速度 打造规模投资增长点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10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default" w:ascii="Times New Roman" w:hAnsi="Times New Roman" w:cs="方正仿宋_GBK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cs="方正仿宋_GBK"/>
                <w:kern w:val="2"/>
                <w:sz w:val="28"/>
                <w:szCs w:val="28"/>
              </w:rPr>
              <w:t>三峡水利综合能源公司</w:t>
            </w:r>
          </w:p>
        </w:tc>
        <w:tc>
          <w:tcPr>
            <w:tcW w:w="5088" w:type="dxa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default" w:ascii="Times New Roman" w:hAnsi="Times New Roman" w:cs="方正仿宋_GBK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cs="方正仿宋_GBK"/>
                <w:kern w:val="2"/>
                <w:sz w:val="28"/>
                <w:szCs w:val="28"/>
              </w:rPr>
              <w:t xml:space="preserve">以储能 优电能 </w:t>
            </w:r>
            <w:r>
              <w:rPr>
                <w:rFonts w:hint="eastAsia" w:ascii="Times New Roman" w:hAnsi="Times New Roman" w:cs="方正仿宋_GBK"/>
                <w:kern w:val="2"/>
                <w:sz w:val="28"/>
                <w:szCs w:val="28"/>
                <w:lang w:eastAsia="zh-CN"/>
              </w:rPr>
              <w:t>扩</w:t>
            </w:r>
            <w:r>
              <w:rPr>
                <w:rFonts w:hint="eastAsia" w:ascii="Times New Roman" w:hAnsi="Times New Roman" w:cs="方正仿宋_GBK"/>
                <w:kern w:val="2"/>
                <w:sz w:val="28"/>
                <w:szCs w:val="28"/>
              </w:rPr>
              <w:t>投资——两江龙盛储能电站建设案例</w:t>
            </w:r>
          </w:p>
        </w:tc>
      </w:tr>
    </w:tbl>
    <w:p>
      <w:pPr>
        <w:suppressAutoHyphens/>
        <w:bidi w:val="0"/>
        <w:adjustRightInd/>
        <w:spacing w:before="0" w:after="0" w:line="400" w:lineRule="exact"/>
        <w:textAlignment w:val="auto"/>
        <w:rPr>
          <w:rFonts w:hint="eastAsia" w:ascii="Times New Roman" w:hAnsi="Times New Roman" w:cs="方正仿宋_GBK"/>
          <w:kern w:val="2"/>
          <w:sz w:val="30"/>
          <w:szCs w:val="30"/>
        </w:rPr>
        <w:sectPr>
          <w:pgSz w:w="11906" w:h="16838"/>
          <w:pgMar w:top="2098" w:right="1531" w:bottom="1984" w:left="1531" w:header="851" w:footer="1417" w:gutter="0"/>
          <w:lnNumType w:countBy="0" w:distance="360"/>
          <w:pgNumType w:fmt="decimal"/>
          <w:cols w:space="0" w:num="1"/>
          <w:rtlGutter w:val="0"/>
          <w:docGrid w:type="linesAndChars" w:linePitch="579" w:charSpace="-849"/>
        </w:sectPr>
      </w:pPr>
    </w:p>
    <w:p>
      <w:pPr>
        <w:suppressAutoHyphens/>
        <w:bidi w:val="0"/>
        <w:adjustRightInd/>
        <w:spacing w:before="0" w:after="0" w:line="240" w:lineRule="auto"/>
        <w:textAlignment w:val="auto"/>
        <w:rPr>
          <w:rFonts w:hint="eastAsia" w:eastAsia="方正黑体_GBK" w:cs="方正黑体_GBK"/>
          <w:kern w:val="2"/>
          <w:lang w:val="en-US" w:eastAsia="zh-CN"/>
        </w:rPr>
      </w:pPr>
      <w:r>
        <w:rPr>
          <w:rFonts w:hint="eastAsia" w:ascii="Times New Roman" w:hAnsi="Times New Roman" w:eastAsia="方正黑体_GBK" w:cs="方正黑体_GBK"/>
          <w:kern w:val="2"/>
          <w:sz w:val="32"/>
          <w:szCs w:val="32"/>
        </w:rPr>
        <w:t>附件2</w:t>
      </w:r>
    </w:p>
    <w:p>
      <w:pPr>
        <w:suppressAutoHyphens/>
        <w:bidi w:val="0"/>
        <w:adjustRightInd/>
        <w:spacing w:before="0" w:after="0" w:line="240" w:lineRule="auto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0" w:firstLineChars="0"/>
        <w:textAlignment w:val="auto"/>
        <w:rPr>
          <w:rFonts w:hint="eastAsia" w:ascii="Times New Roman" w:hAnsi="Times New Roman" w:eastAsia="方正小标宋_GBK" w:cs="方正小标宋_GBK"/>
          <w:kern w:val="2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kern w:val="2"/>
          <w:sz w:val="44"/>
          <w:szCs w:val="44"/>
        </w:rPr>
        <w:t>“</w:t>
      </w:r>
      <w:r>
        <w:rPr>
          <w:rFonts w:hint="eastAsia" w:ascii="Times New Roman" w:hAnsi="Times New Roman" w:eastAsia="方正小标宋_GBK" w:cs="方正小标宋_GBK"/>
          <w:kern w:val="2"/>
          <w:sz w:val="44"/>
          <w:szCs w:val="44"/>
        </w:rPr>
        <w:t>百万千瓦屋顶分布式光伏</w:t>
      </w:r>
      <w:r>
        <w:rPr>
          <w:rFonts w:hint="eastAsia" w:ascii="方正仿宋_GBK" w:hAnsi="方正仿宋_GBK" w:eastAsia="方正仿宋_GBK" w:cs="方正仿宋_GBK"/>
          <w:kern w:val="2"/>
          <w:sz w:val="44"/>
          <w:szCs w:val="44"/>
        </w:rPr>
        <w:t>”</w:t>
      </w:r>
      <w:r>
        <w:rPr>
          <w:rFonts w:hint="eastAsia" w:ascii="Times New Roman" w:hAnsi="Times New Roman" w:eastAsia="方正小标宋_GBK" w:cs="方正小标宋_GBK"/>
          <w:kern w:val="2"/>
          <w:sz w:val="44"/>
          <w:szCs w:val="44"/>
        </w:rPr>
        <w:t>典型案例名单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0" w:firstLineChars="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tbl>
      <w:tblPr>
        <w:tblStyle w:val="9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2964"/>
        <w:gridCol w:w="5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tblHeader/>
          <w:jc w:val="center"/>
        </w:trPr>
        <w:tc>
          <w:tcPr>
            <w:tcW w:w="1068" w:type="dxa"/>
            <w:vAlign w:val="center"/>
          </w:tcPr>
          <w:p>
            <w:pPr>
              <w:suppressAutoHyphens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kern w:val="2"/>
                <w:sz w:val="28"/>
                <w:szCs w:val="28"/>
              </w:rPr>
              <w:t>序号</w:t>
            </w:r>
          </w:p>
        </w:tc>
        <w:tc>
          <w:tcPr>
            <w:tcW w:w="2964" w:type="dxa"/>
            <w:vAlign w:val="center"/>
          </w:tcPr>
          <w:p>
            <w:pPr>
              <w:suppressAutoHyphens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kern w:val="2"/>
                <w:sz w:val="28"/>
                <w:szCs w:val="28"/>
              </w:rPr>
              <w:t>申报单位</w:t>
            </w:r>
          </w:p>
        </w:tc>
        <w:tc>
          <w:tcPr>
            <w:tcW w:w="5076" w:type="dxa"/>
            <w:vAlign w:val="center"/>
          </w:tcPr>
          <w:p>
            <w:pPr>
              <w:suppressAutoHyphens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kern w:val="2"/>
                <w:sz w:val="28"/>
                <w:szCs w:val="28"/>
              </w:rPr>
              <w:t>案例名称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2964" w:type="dxa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default" w:ascii="Times New Roman" w:hAnsi="Times New Roman" w:cs="方正仿宋_GBK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cs="方正仿宋_GBK"/>
                <w:kern w:val="2"/>
                <w:sz w:val="28"/>
                <w:szCs w:val="28"/>
              </w:rPr>
              <w:t>彭水苗族土家族自治县发展和改革委员会</w:t>
            </w:r>
          </w:p>
        </w:tc>
        <w:tc>
          <w:tcPr>
            <w:tcW w:w="5076" w:type="dxa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default" w:ascii="Times New Roman" w:hAnsi="Times New Roman" w:cs="方正仿宋_GBK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cs="方正仿宋_GBK"/>
                <w:kern w:val="2"/>
                <w:sz w:val="28"/>
                <w:szCs w:val="28"/>
                <w:lang w:eastAsia="zh-CN"/>
              </w:rPr>
              <w:t>彭水自治县</w:t>
            </w:r>
            <w:r>
              <w:rPr>
                <w:rFonts w:hint="eastAsia" w:ascii="Times New Roman" w:hAnsi="Times New Roman" w:cs="方正仿宋_GBK"/>
                <w:kern w:val="2"/>
                <w:sz w:val="28"/>
                <w:szCs w:val="28"/>
              </w:rPr>
              <w:t>屋顶分布式光伏试点项目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2964" w:type="dxa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default" w:ascii="Times New Roman" w:hAnsi="Times New Roman" w:cs="方正仿宋_GBK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cs="方正仿宋_GBK"/>
                <w:kern w:val="2"/>
                <w:sz w:val="28"/>
                <w:szCs w:val="28"/>
              </w:rPr>
              <w:t>重庆绿动智慧能源有限公司</w:t>
            </w:r>
          </w:p>
        </w:tc>
        <w:tc>
          <w:tcPr>
            <w:tcW w:w="5076" w:type="dxa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default" w:ascii="Times New Roman" w:hAnsi="Times New Roman" w:cs="方正仿宋_GBK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cs="方正仿宋_GBK"/>
                <w:kern w:val="2"/>
                <w:sz w:val="28"/>
                <w:szCs w:val="28"/>
              </w:rPr>
              <w:t>奉节县教育卫生公共机构分布式光伏发电项目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2964" w:type="dxa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default" w:ascii="Times New Roman" w:hAnsi="Times New Roman" w:cs="方正仿宋_GBK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cs="方正仿宋_GBK"/>
                <w:kern w:val="2"/>
                <w:sz w:val="28"/>
                <w:szCs w:val="28"/>
              </w:rPr>
              <w:t>华电重庆新能源有限公司</w:t>
            </w:r>
          </w:p>
        </w:tc>
        <w:tc>
          <w:tcPr>
            <w:tcW w:w="5076" w:type="dxa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default" w:ascii="Times New Roman" w:hAnsi="Times New Roman" w:cs="方正仿宋_GBK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cs="方正仿宋_GBK"/>
                <w:kern w:val="2"/>
                <w:sz w:val="28"/>
                <w:szCs w:val="28"/>
              </w:rPr>
              <w:t>华电璧铜线屋顶分布式光伏发电项目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2964" w:type="dxa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default" w:ascii="Times New Roman" w:hAnsi="Times New Roman" w:cs="方正仿宋_GBK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cs="方正仿宋_GBK"/>
                <w:kern w:val="2"/>
                <w:sz w:val="28"/>
                <w:szCs w:val="28"/>
              </w:rPr>
              <w:t>国能（重庆）新能源开发有限公司</w:t>
            </w:r>
          </w:p>
        </w:tc>
        <w:tc>
          <w:tcPr>
            <w:tcW w:w="5076" w:type="dxa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default" w:ascii="Times New Roman" w:hAnsi="Times New Roman" w:cs="方正仿宋_GBK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cs="方正仿宋_GBK"/>
                <w:kern w:val="2"/>
                <w:sz w:val="28"/>
                <w:szCs w:val="28"/>
              </w:rPr>
              <w:t>国能重庆两江新区京东方屋顶分布式光伏发电项目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2964" w:type="dxa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default" w:ascii="Times New Roman" w:hAnsi="Times New Roman" w:cs="方正仿宋_GBK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cs="方正仿宋_GBK"/>
                <w:kern w:val="2"/>
                <w:sz w:val="28"/>
                <w:szCs w:val="28"/>
              </w:rPr>
              <w:t>中核汇能重庆能源有限公司</w:t>
            </w:r>
          </w:p>
        </w:tc>
        <w:tc>
          <w:tcPr>
            <w:tcW w:w="5076" w:type="dxa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default" w:ascii="Times New Roman" w:hAnsi="Times New Roman" w:cs="方正仿宋_GBK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cs="方正仿宋_GBK"/>
                <w:kern w:val="2"/>
                <w:sz w:val="28"/>
                <w:szCs w:val="28"/>
              </w:rPr>
              <w:t>中核汇能长安汽车渝北工厂分布式光伏发电项目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2964" w:type="dxa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default" w:ascii="Times New Roman" w:hAnsi="Times New Roman" w:cs="方正仿宋_GBK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cs="方正仿宋_GBK"/>
                <w:kern w:val="2"/>
                <w:sz w:val="28"/>
                <w:szCs w:val="28"/>
              </w:rPr>
              <w:t>重庆大唐国际石柱发电有限责任公司</w:t>
            </w:r>
          </w:p>
        </w:tc>
        <w:tc>
          <w:tcPr>
            <w:tcW w:w="5076" w:type="dxa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default" w:ascii="Times New Roman" w:hAnsi="Times New Roman" w:cs="方正仿宋_GBK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cs="方正仿宋_GBK"/>
                <w:kern w:val="2"/>
                <w:sz w:val="28"/>
                <w:szCs w:val="28"/>
              </w:rPr>
              <w:t>大唐重庆</w:t>
            </w:r>
            <w:r>
              <w:rPr>
                <w:rFonts w:hint="eastAsia" w:ascii="Times New Roman" w:hAnsi="Times New Roman" w:cs="方正仿宋_GBK"/>
                <w:kern w:val="2"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Times New Roman" w:hAnsi="Times New Roman" w:cs="方正仿宋_GBK"/>
                <w:kern w:val="2"/>
                <w:sz w:val="28"/>
                <w:szCs w:val="28"/>
              </w:rPr>
              <w:t>石柱县工业园区屋顶分布式光伏发电项目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2964" w:type="dxa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default" w:ascii="Times New Roman" w:hAnsi="Times New Roman" w:cs="方正仿宋_GBK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cs="方正仿宋_GBK"/>
                <w:kern w:val="2"/>
                <w:sz w:val="28"/>
                <w:szCs w:val="28"/>
              </w:rPr>
              <w:t>国网重庆综合能源服务有限公司</w:t>
            </w:r>
          </w:p>
        </w:tc>
        <w:tc>
          <w:tcPr>
            <w:tcW w:w="5076" w:type="dxa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default" w:ascii="Times New Roman" w:hAnsi="Times New Roman" w:cs="方正仿宋_GBK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cs="方正仿宋_GBK"/>
                <w:kern w:val="2"/>
                <w:sz w:val="28"/>
                <w:szCs w:val="28"/>
              </w:rPr>
              <w:t>国网综合能源西永微电园屋顶分布式光伏发电项目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2964" w:type="dxa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default" w:ascii="Times New Roman" w:hAnsi="Times New Roman" w:cs="方正仿宋_GBK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cs="方正仿宋_GBK"/>
                <w:kern w:val="2"/>
                <w:sz w:val="28"/>
                <w:szCs w:val="28"/>
              </w:rPr>
              <w:t>重庆绿动智慧能源有限公司</w:t>
            </w:r>
          </w:p>
        </w:tc>
        <w:tc>
          <w:tcPr>
            <w:tcW w:w="5076" w:type="dxa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default" w:ascii="Times New Roman" w:hAnsi="Times New Roman" w:cs="方正仿宋_GBK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cs="方正仿宋_GBK"/>
                <w:kern w:val="2"/>
                <w:sz w:val="28"/>
                <w:szCs w:val="28"/>
              </w:rPr>
              <w:fldChar w:fldCharType="begin"/>
            </w:r>
            <w:r>
              <w:rPr>
                <w:rFonts w:hint="eastAsia" w:ascii="Times New Roman" w:hAnsi="Times New Roman" w:cs="方正仿宋_GBK"/>
                <w:kern w:val="2"/>
                <w:sz w:val="28"/>
                <w:szCs w:val="28"/>
              </w:rPr>
              <w:instrText xml:space="preserve"> HYPERLINK \l _Toc21036 </w:instrText>
            </w:r>
            <w:r>
              <w:rPr>
                <w:rFonts w:hint="eastAsia" w:ascii="Times New Roman" w:hAnsi="Times New Roman" w:cs="方正仿宋_GBK"/>
                <w:kern w:val="2"/>
                <w:sz w:val="28"/>
                <w:szCs w:val="28"/>
              </w:rPr>
              <w:fldChar w:fldCharType="separate"/>
            </w:r>
            <w:r>
              <w:rPr>
                <w:rFonts w:hint="eastAsia" w:ascii="Times New Roman" w:hAnsi="Times New Roman" w:cs="方正仿宋_GBK"/>
                <w:kern w:val="2"/>
                <w:sz w:val="28"/>
                <w:szCs w:val="28"/>
              </w:rPr>
              <w:t>国家电投重庆绿动丰都县恒都食品综合智慧能源项目</w:t>
            </w:r>
            <w:r>
              <w:rPr>
                <w:rFonts w:hint="eastAsia" w:ascii="Times New Roman" w:hAnsi="Times New Roman" w:cs="方正仿宋_GBK"/>
                <w:kern w:val="2"/>
                <w:sz w:val="28"/>
                <w:szCs w:val="28"/>
              </w:rPr>
              <w:fldChar w:fldCharType="end"/>
            </w:r>
          </w:p>
        </w:tc>
      </w:tr>
    </w:tbl>
    <w:p>
      <w:pPr>
        <w:suppressAutoHyphens/>
        <w:bidi w:val="0"/>
        <w:adjustRightInd/>
        <w:spacing w:before="0" w:after="0" w:line="360" w:lineRule="exact"/>
        <w:textAlignment w:val="auto"/>
        <w:rPr>
          <w:rFonts w:ascii="Times New Roman" w:hAnsi="Times New Roman" w:eastAsia="宋体"/>
          <w:kern w:val="2"/>
          <w:sz w:val="21"/>
          <w:szCs w:val="24"/>
        </w:rPr>
      </w:pPr>
    </w:p>
    <w:p>
      <w:pPr>
        <w:spacing w:before="0" w:after="0" w:line="240" w:lineRule="auto"/>
      </w:pPr>
      <w:bookmarkStart w:id="2" w:name="_GoBack"/>
      <w:bookmarkEnd w:id="2"/>
    </w:p>
    <w:p>
      <w:pPr>
        <w:spacing w:before="0" w:after="0" w:line="240" w:lineRule="auto"/>
      </w:pPr>
    </w:p>
    <w:p>
      <w:pPr>
        <w:spacing w:before="0" w:after="0" w:line="240" w:lineRule="auto"/>
      </w:pPr>
    </w:p>
    <w:p>
      <w:pPr>
        <w:adjustRightInd/>
        <w:spacing w:line="240" w:lineRule="auto"/>
        <w:textAlignment w:val="auto"/>
        <w:rPr>
          <w:rFonts w:hint="default" w:ascii="Times New Roman" w:hAnsi="Times New Roman" w:eastAsia="宋体" w:cs="Times New Roman"/>
          <w:kern w:val="2"/>
          <w:szCs w:val="24"/>
          <w:lang w:val="en-US" w:eastAsia="zh-CN"/>
        </w:rPr>
      </w:pPr>
    </w:p>
    <w:p>
      <w:pPr>
        <w:adjustRightInd/>
        <w:spacing w:before="0" w:after="0" w:line="240" w:lineRule="auto"/>
        <w:ind w:firstLine="270" w:firstLineChars="100"/>
        <w:textAlignment w:val="auto"/>
        <w:rPr>
          <w:sz w:val="28"/>
          <w:szCs w:val="28"/>
        </w:rPr>
      </w:pPr>
    </w:p>
    <w:sectPr>
      <w:pgSz w:w="11906" w:h="16838"/>
      <w:pgMar w:top="2098" w:right="1531" w:bottom="1985" w:left="1531" w:header="851" w:footer="1418" w:gutter="0"/>
      <w:pgNumType w:fmt="decimal"/>
      <w:cols w:space="720" w:num="1"/>
      <w:docGrid w:type="linesAndChars" w:linePitch="579" w:charSpace="-20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001010101"/>
    <w:charset w:val="00"/>
    <w:family w:val="auto"/>
    <w:pitch w:val="default"/>
    <w:sig w:usb0="00000000" w:usb1="00000000" w:usb2="00000000" w:usb3="00000000" w:csb0="00040000" w:csb1="00000000"/>
  </w:font>
  <w:font w:name="方正仿宋_GB2312">
    <w:altName w:val="方正仿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大标宋简体">
    <w:altName w:val="宋体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/>
    <w:r>
      <w:rPr>
        <w:sz w:val="18"/>
      </w:rPr>
      <w:pict>
        <v:shape id="_x0000_s2051" o:spid="_x0000_s2051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ascii="方正仿宋_GBK" w:hAnsi="方正仿宋_GBK" w:cs="方正仿宋_GBK"/>
                    <w:sz w:val="28"/>
                    <w:szCs w:val="28"/>
                  </w:rPr>
                </w:pPr>
                <w:r>
                  <w:rPr>
                    <w:rFonts w:hint="eastAsia" w:ascii="方正仿宋_GBK" w:hAnsi="方正仿宋_GBK" w:cs="方正仿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default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/>
                    <w:sz w:val="28"/>
                    <w:szCs w:val="28"/>
                  </w:rPr>
                  <w:t>1</w:t>
                </w:r>
                <w:r>
                  <w:rPr>
                    <w:rFonts w:hint="default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方正仿宋_GBK" w:hAnsi="方正仿宋_GBK" w:cs="方正仿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revisionView w:markup="0"/>
  <w:trackRevisions w:val="1"/>
  <w:documentProtection w:enforcement="0"/>
  <w:defaultTabStop w:val="425"/>
  <w:drawingGridHorizontalSpacing w:val="158"/>
  <w:drawingGridVerticalSpacing w:val="290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FB"/>
    <w:rsid w:val="000002D9"/>
    <w:rsid w:val="000A01FB"/>
    <w:rsid w:val="000A275B"/>
    <w:rsid w:val="000B4A22"/>
    <w:rsid w:val="000C0BF7"/>
    <w:rsid w:val="000C2FB2"/>
    <w:rsid w:val="000C6B28"/>
    <w:rsid w:val="000D78B9"/>
    <w:rsid w:val="000F25BF"/>
    <w:rsid w:val="001024AA"/>
    <w:rsid w:val="001056AD"/>
    <w:rsid w:val="00182501"/>
    <w:rsid w:val="00185691"/>
    <w:rsid w:val="001D3042"/>
    <w:rsid w:val="001F7BBB"/>
    <w:rsid w:val="0026530B"/>
    <w:rsid w:val="00296D93"/>
    <w:rsid w:val="002B04C6"/>
    <w:rsid w:val="00301B6D"/>
    <w:rsid w:val="00396215"/>
    <w:rsid w:val="00396CAE"/>
    <w:rsid w:val="003D3333"/>
    <w:rsid w:val="003D5F25"/>
    <w:rsid w:val="003E4FE8"/>
    <w:rsid w:val="003E5084"/>
    <w:rsid w:val="003F450B"/>
    <w:rsid w:val="00413264"/>
    <w:rsid w:val="00432433"/>
    <w:rsid w:val="00434D79"/>
    <w:rsid w:val="00474C3A"/>
    <w:rsid w:val="00496D2E"/>
    <w:rsid w:val="00497F00"/>
    <w:rsid w:val="004A2FB3"/>
    <w:rsid w:val="004E0474"/>
    <w:rsid w:val="0050535E"/>
    <w:rsid w:val="005777F4"/>
    <w:rsid w:val="005C221C"/>
    <w:rsid w:val="005C7EAE"/>
    <w:rsid w:val="006042BD"/>
    <w:rsid w:val="006068C6"/>
    <w:rsid w:val="0063154E"/>
    <w:rsid w:val="006A30D0"/>
    <w:rsid w:val="0072131F"/>
    <w:rsid w:val="00731C1B"/>
    <w:rsid w:val="00737083"/>
    <w:rsid w:val="00765BC9"/>
    <w:rsid w:val="007770A5"/>
    <w:rsid w:val="00794916"/>
    <w:rsid w:val="007B0DE3"/>
    <w:rsid w:val="007F46CB"/>
    <w:rsid w:val="00815223"/>
    <w:rsid w:val="00831787"/>
    <w:rsid w:val="00860A47"/>
    <w:rsid w:val="00891C35"/>
    <w:rsid w:val="008935D1"/>
    <w:rsid w:val="008B74C0"/>
    <w:rsid w:val="009048D5"/>
    <w:rsid w:val="00904AFE"/>
    <w:rsid w:val="0092122C"/>
    <w:rsid w:val="009220DF"/>
    <w:rsid w:val="00965CCB"/>
    <w:rsid w:val="00972E17"/>
    <w:rsid w:val="00995785"/>
    <w:rsid w:val="009A5EB0"/>
    <w:rsid w:val="00A40C10"/>
    <w:rsid w:val="00A443C1"/>
    <w:rsid w:val="00A955CD"/>
    <w:rsid w:val="00B1777D"/>
    <w:rsid w:val="00B51CD6"/>
    <w:rsid w:val="00B833D8"/>
    <w:rsid w:val="00C464A8"/>
    <w:rsid w:val="00C6762A"/>
    <w:rsid w:val="00D01740"/>
    <w:rsid w:val="00D471B4"/>
    <w:rsid w:val="00D7295A"/>
    <w:rsid w:val="00D878F1"/>
    <w:rsid w:val="00D97CFB"/>
    <w:rsid w:val="00DB38C2"/>
    <w:rsid w:val="00E03841"/>
    <w:rsid w:val="00E770E1"/>
    <w:rsid w:val="00E93235"/>
    <w:rsid w:val="00ED5B9D"/>
    <w:rsid w:val="00F14A44"/>
    <w:rsid w:val="00F35819"/>
    <w:rsid w:val="00F63B69"/>
    <w:rsid w:val="00F76AAF"/>
    <w:rsid w:val="00FA4D84"/>
    <w:rsid w:val="11061CFD"/>
    <w:rsid w:val="11070081"/>
    <w:rsid w:val="15BD1CB8"/>
    <w:rsid w:val="1A682661"/>
    <w:rsid w:val="1BAA1B19"/>
    <w:rsid w:val="1DA379D8"/>
    <w:rsid w:val="1F755D97"/>
    <w:rsid w:val="22EC3D6D"/>
    <w:rsid w:val="30A510F5"/>
    <w:rsid w:val="35551771"/>
    <w:rsid w:val="35E02A37"/>
    <w:rsid w:val="37130AFF"/>
    <w:rsid w:val="395A205F"/>
    <w:rsid w:val="4D0C28C8"/>
    <w:rsid w:val="54081136"/>
    <w:rsid w:val="58E43AD3"/>
    <w:rsid w:val="5DF66648"/>
    <w:rsid w:val="6C8B724B"/>
    <w:rsid w:val="6ECB2DB1"/>
    <w:rsid w:val="71784236"/>
    <w:rsid w:val="732E3E53"/>
    <w:rsid w:val="77400C32"/>
    <w:rsid w:val="779A726F"/>
    <w:rsid w:val="7ABC4A73"/>
    <w:rsid w:val="7C716CC9"/>
    <w:rsid w:val="7DE71E07"/>
    <w:rsid w:val="FB6FD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2">
    <w:name w:val="heading 1"/>
    <w:next w:val="1"/>
    <w:qFormat/>
    <w:uiPriority w:val="0"/>
    <w:pPr>
      <w:keepNext w:val="0"/>
      <w:keepLines w:val="0"/>
      <w:widowControl w:val="0"/>
      <w:suppressAutoHyphens/>
      <w:overflowPunct w:val="0"/>
      <w:bidi w:val="0"/>
      <w:spacing w:beforeLines="0" w:beforeAutospacing="0" w:afterLines="0" w:afterAutospacing="0" w:line="576" w:lineRule="exact"/>
      <w:ind w:firstLine="0" w:firstLineChars="0"/>
      <w:jc w:val="center"/>
      <w:outlineLvl w:val="0"/>
    </w:pPr>
    <w:rPr>
      <w:rFonts w:ascii="Calibri" w:hAnsi="Calibri" w:eastAsia="方正小标宋_GBK" w:cs="Times New Roman"/>
      <w:color w:val="auto"/>
      <w:kern w:val="44"/>
      <w:sz w:val="44"/>
      <w:szCs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Body Text 2"/>
    <w:basedOn w:val="1"/>
    <w:qFormat/>
    <w:uiPriority w:val="0"/>
    <w:pPr>
      <w:spacing w:after="120" w:line="480" w:lineRule="auto"/>
    </w:pPr>
  </w:style>
  <w:style w:type="character" w:styleId="11">
    <w:name w:val="page number"/>
    <w:basedOn w:val="10"/>
    <w:qFormat/>
    <w:uiPriority w:val="0"/>
  </w:style>
  <w:style w:type="character" w:customStyle="1" w:styleId="12">
    <w:name w:val="页眉 Char"/>
    <w:link w:val="6"/>
    <w:qFormat/>
    <w:uiPriority w:val="0"/>
    <w:rPr>
      <w:rFonts w:eastAsia="方正仿宋_GBK"/>
      <w:sz w:val="18"/>
      <w:szCs w:val="18"/>
    </w:rPr>
  </w:style>
  <w:style w:type="character" w:customStyle="1" w:styleId="13">
    <w:name w:val="页脚 Char"/>
    <w:link w:val="5"/>
    <w:qFormat/>
    <w:uiPriority w:val="99"/>
    <w:rPr>
      <w:rFonts w:eastAsia="方正仿宋_GBK"/>
      <w:sz w:val="18"/>
      <w:szCs w:val="18"/>
    </w:rPr>
  </w:style>
  <w:style w:type="paragraph" w:customStyle="1" w:styleId="14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1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jw</Company>
  <Pages>4</Pages>
  <Words>3</Words>
  <Characters>20</Characters>
  <Lines>1</Lines>
  <Paragraphs>1</Paragraphs>
  <TotalTime>6</TotalTime>
  <ScaleCrop>false</ScaleCrop>
  <LinksUpToDate>false</LinksUpToDate>
  <CharactersWithSpaces>22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2009-06-05T10:03:00Z</dcterms:created>
  <dc:creator>jw</dc:creator>
  <cp:lastModifiedBy>周卒</cp:lastModifiedBy>
  <cp:lastPrinted>2009-06-08T14:26:00Z</cp:lastPrinted>
  <dcterms:modified xsi:type="dcterms:W3CDTF">2025-03-19T03:59:28Z</dcterms:modified>
  <dc:title>重庆市计委关于巫山县小小三峡手扒岩至平河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432393A72E6940A4BC3AC3638E7AEB9A</vt:lpwstr>
  </property>
  <property fmtid="{D5CDD505-2E9C-101B-9397-08002B2CF9AE}" pid="3" name="KSOProductBuildVer">
    <vt:lpwstr>2052-11.8.2.12251</vt:lpwstr>
  </property>
</Properties>
</file>