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before="0" w:after="0" w:line="240" w:lineRule="auto"/>
        <w:rPr>
          <w:rFonts w:ascii="Times New Roman" w:hAnsi="Times New Roman" w:cs="方正仿宋_GBK"/>
          <w:bCs/>
          <w:color w:val="auto"/>
        </w:rPr>
      </w:pPr>
      <w:bookmarkStart w:id="2" w:name="_GoBack"/>
      <w:bookmarkEnd w:id="2"/>
    </w:p>
    <w:p>
      <w:pPr>
        <w:overflowPunct w:val="0"/>
        <w:adjustRightInd/>
        <w:spacing w:before="0" w:after="0" w:line="240" w:lineRule="auto"/>
        <w:rPr>
          <w:rFonts w:ascii="Times New Roman" w:hAnsi="Times New Roman" w:cs="方正仿宋_GBK"/>
          <w:bCs/>
          <w:color w:val="auto"/>
        </w:rPr>
      </w:pPr>
    </w:p>
    <w:p>
      <w:pPr>
        <w:overflowPunct w:val="0"/>
        <w:adjustRightInd/>
        <w:spacing w:before="0" w:after="0" w:line="240" w:lineRule="auto"/>
        <w:rPr>
          <w:rFonts w:ascii="Times New Roman" w:hAnsi="Times New Roman" w:cs="方正仿宋_GBK"/>
          <w:bCs/>
          <w:color w:val="auto"/>
        </w:rPr>
      </w:pPr>
    </w:p>
    <w:p>
      <w:pPr>
        <w:overflowPunct w:val="0"/>
        <w:adjustRightInd/>
        <w:spacing w:before="0" w:after="0" w:line="240" w:lineRule="auto"/>
        <w:rPr>
          <w:rFonts w:hint="eastAsia" w:cs="方正仿宋_GBK"/>
          <w:bCs/>
          <w:color w:val="auto"/>
        </w:rPr>
      </w:pPr>
    </w:p>
    <w:p>
      <w:pPr>
        <w:overflowPunct w:val="0"/>
        <w:adjustRightInd/>
        <w:spacing w:before="0" w:after="0" w:line="240" w:lineRule="auto"/>
        <w:rPr>
          <w:rFonts w:hint="eastAsia" w:cs="方正仿宋_GBK"/>
          <w:bCs/>
          <w:color w:val="auto"/>
        </w:rPr>
      </w:pPr>
    </w:p>
    <w:p>
      <w:pPr>
        <w:overflowPunct w:val="0"/>
        <w:adjustRightInd/>
        <w:spacing w:before="0" w:after="0" w:line="240" w:lineRule="auto"/>
        <w:jc w:val="both"/>
        <w:rPr>
          <w:rFonts w:hint="eastAsia" w:eastAsia="方正仿宋_GBK" w:cs="方正仿宋_GBK"/>
          <w:color w:val="auto"/>
          <w:kern w:val="2"/>
        </w:rPr>
      </w:pPr>
    </w:p>
    <w:p>
      <w:pPr>
        <w:overflowPunct w:val="0"/>
        <w:adjustRightInd/>
        <w:spacing w:before="0" w:after="0" w:line="240" w:lineRule="auto"/>
        <w:jc w:val="both"/>
        <w:rPr>
          <w:rFonts w:hint="eastAsia" w:eastAsia="方正仿宋_GBK" w:cs="方正仿宋_GBK"/>
          <w:color w:val="auto"/>
          <w:kern w:val="2"/>
        </w:rPr>
      </w:pPr>
    </w:p>
    <w:p>
      <w:pPr>
        <w:overflowPunct w:val="0"/>
        <w:adjustRightInd/>
        <w:spacing w:before="0" w:after="0" w:line="240" w:lineRule="auto"/>
        <w:jc w:val="both"/>
        <w:rPr>
          <w:rFonts w:hint="eastAsia" w:eastAsia="方正仿宋_GBK" w:cs="方正仿宋_GBK"/>
          <w:color w:val="auto"/>
          <w:kern w:val="2"/>
        </w:rPr>
      </w:pPr>
    </w:p>
    <w:p>
      <w:pPr>
        <w:overflowPunct w:val="0"/>
        <w:adjustRightInd/>
        <w:spacing w:before="0" w:after="0" w:line="240" w:lineRule="auto"/>
        <w:jc w:val="center"/>
        <w:rPr>
          <w:rFonts w:hint="eastAsia" w:cs="方正仿宋_GBK"/>
          <w:bCs/>
          <w:color w:val="auto"/>
        </w:rPr>
      </w:pPr>
      <w:r>
        <w:rPr>
          <w:rFonts w:hint="eastAsia" w:eastAsia="方正仿宋_GBK" w:cs="方正仿宋_GBK"/>
          <w:color w:val="auto"/>
          <w:kern w:val="2"/>
        </w:rPr>
        <w:t>渝粮管〔2023〕70号</w:t>
      </w:r>
    </w:p>
    <w:p>
      <w:pPr>
        <w:overflowPunct w:val="0"/>
        <w:adjustRightInd/>
        <w:spacing w:before="0" w:after="0" w:line="240" w:lineRule="auto"/>
        <w:jc w:val="both"/>
        <w:rPr>
          <w:bCs/>
          <w:color w:val="auto"/>
        </w:rPr>
      </w:pPr>
    </w:p>
    <w:p>
      <w:pPr>
        <w:overflowPunct w:val="0"/>
        <w:adjustRightInd/>
        <w:spacing w:before="0" w:after="0" w:line="240" w:lineRule="auto"/>
        <w:jc w:val="both"/>
        <w:rPr>
          <w:bCs/>
          <w:color w:val="auto"/>
        </w:rPr>
      </w:pPr>
    </w:p>
    <w:p>
      <w:pPr>
        <w:overflowPunct w:val="0"/>
        <w:adjustRightInd/>
        <w:spacing w:before="0" w:after="0" w:line="580" w:lineRule="exact"/>
        <w:ind w:firstLine="0" w:firstLineChars="0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0" w:name="正文_0"/>
      <w:bookmarkEnd w:id="0"/>
      <w:bookmarkStart w:id="1" w:name="正文"/>
      <w:r>
        <w:rPr>
          <w:rFonts w:eastAsia="方正小标宋_GBK"/>
          <w:color w:val="auto"/>
          <w:kern w:val="2"/>
          <w:sz w:val="44"/>
          <w:szCs w:val="44"/>
        </w:rPr>
        <w:t>重庆市</w:t>
      </w:r>
      <w:r>
        <w:rPr>
          <w:rFonts w:eastAsia="方正小标宋_GBK"/>
          <w:color w:val="auto"/>
          <w:kern w:val="2"/>
          <w:sz w:val="44"/>
          <w:szCs w:val="44"/>
        </w:rPr>
        <w:t>粮食局</w:t>
      </w:r>
    </w:p>
    <w:p>
      <w:pPr>
        <w:overflowPunct w:val="0"/>
        <w:adjustRightInd/>
        <w:spacing w:before="0" w:after="0" w:line="580" w:lineRule="exact"/>
        <w:ind w:firstLine="0" w:firstLineChars="0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eastAsia="方正小标宋_GBK"/>
          <w:color w:val="auto"/>
          <w:kern w:val="2"/>
          <w:sz w:val="44"/>
          <w:szCs w:val="44"/>
        </w:rPr>
        <w:t>关于切实做好202</w:t>
      </w:r>
      <w:r>
        <w:rPr>
          <w:rFonts w:eastAsia="方正小标宋_GBK"/>
          <w:color w:val="auto"/>
          <w:kern w:val="2"/>
          <w:sz w:val="44"/>
          <w:szCs w:val="44"/>
        </w:rPr>
        <w:t>3</w:t>
      </w:r>
      <w:r>
        <w:rPr>
          <w:rFonts w:eastAsia="方正小标宋_GBK"/>
          <w:color w:val="auto"/>
          <w:kern w:val="2"/>
          <w:sz w:val="44"/>
          <w:szCs w:val="44"/>
        </w:rPr>
        <w:t>年夏粮收购工作的通知</w:t>
      </w:r>
    </w:p>
    <w:p>
      <w:pPr>
        <w:overflowPunct w:val="0"/>
        <w:adjustRightInd/>
        <w:spacing w:before="0" w:after="0" w:line="240" w:lineRule="auto"/>
        <w:ind w:firstLine="0" w:firstLineChars="0"/>
        <w:rPr>
          <w:rFonts w:eastAsia="方正仿宋_GBK"/>
          <w:bCs/>
          <w:color w:val="auto"/>
          <w:kern w:val="0"/>
          <w:sz w:val="32"/>
          <w:szCs w:val="32"/>
        </w:rPr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color w:val="auto"/>
          <w:kern w:val="2"/>
        </w:rPr>
      </w:pPr>
      <w:r>
        <w:rPr>
          <w:color w:val="auto"/>
          <w:kern w:val="2"/>
        </w:rPr>
        <w:t>各区县（自治县）发展改革委，两江新区经济运行局、</w:t>
      </w:r>
      <w:r>
        <w:rPr>
          <w:rFonts w:hint="eastAsia"/>
          <w:color w:val="auto"/>
          <w:kern w:val="2"/>
        </w:rPr>
        <w:t>重庆</w:t>
      </w:r>
      <w:r>
        <w:rPr>
          <w:color w:val="auto"/>
          <w:kern w:val="2"/>
        </w:rPr>
        <w:t>高新区改革发展局、万盛经开区发展改革局，市储备粮公司、重庆粮食集团：</w:t>
      </w: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cs="方正仿宋_GBK"/>
          <w:color w:val="auto"/>
          <w:kern w:val="2"/>
        </w:rPr>
      </w:pPr>
      <w:r>
        <w:rPr>
          <w:rFonts w:hint="eastAsia" w:cs="方正仿宋_GBK"/>
          <w:color w:val="auto"/>
          <w:kern w:val="2"/>
        </w:rPr>
        <w:t>根据国家发展改革委、国家粮食和储备局、财政部、农业农村部、</w:t>
      </w:r>
      <w:r>
        <w:rPr>
          <w:rFonts w:hint="eastAsia" w:cs="方正仿宋_GBK"/>
          <w:color w:val="auto"/>
          <w:kern w:val="2"/>
        </w:rPr>
        <w:t>国家市场监管总局、</w:t>
      </w:r>
      <w:r>
        <w:rPr>
          <w:rFonts w:hint="eastAsia" w:cs="方正仿宋_GBK"/>
          <w:color w:val="auto"/>
          <w:kern w:val="2"/>
        </w:rPr>
        <w:t>中国农业发展银行《关于切实做好202</w:t>
      </w:r>
      <w:r>
        <w:rPr>
          <w:rFonts w:hint="eastAsia" w:cs="方正仿宋_GBK"/>
          <w:color w:val="auto"/>
          <w:kern w:val="2"/>
        </w:rPr>
        <w:t>3</w:t>
      </w:r>
      <w:r>
        <w:rPr>
          <w:rFonts w:hint="eastAsia" w:cs="方正仿宋_GBK"/>
          <w:color w:val="auto"/>
          <w:kern w:val="2"/>
        </w:rPr>
        <w:t>年夏季粮油收购工作的通知》（国粮粮</w:t>
      </w:r>
      <w:r>
        <w:rPr>
          <w:rFonts w:hint="eastAsia" w:cs="方正仿宋_GBK"/>
          <w:color w:val="auto"/>
          <w:kern w:val="2"/>
        </w:rPr>
        <w:t>〔2023〕78</w:t>
      </w:r>
      <w:r>
        <w:rPr>
          <w:rFonts w:hint="eastAsia" w:cs="方正仿宋_GBK"/>
          <w:color w:val="auto"/>
          <w:kern w:val="2"/>
        </w:rPr>
        <w:t>号）及5月1</w:t>
      </w:r>
      <w:r>
        <w:rPr>
          <w:rFonts w:hint="eastAsia" w:cs="方正仿宋_GBK"/>
          <w:color w:val="auto"/>
          <w:kern w:val="2"/>
        </w:rPr>
        <w:t>6</w:t>
      </w:r>
      <w:r>
        <w:rPr>
          <w:rFonts w:hint="eastAsia" w:cs="方正仿宋_GBK"/>
          <w:color w:val="auto"/>
          <w:kern w:val="2"/>
        </w:rPr>
        <w:t>日全国夏粮收购工作视频会议精神，</w:t>
      </w:r>
      <w:r>
        <w:rPr>
          <w:rFonts w:hint="eastAsia" w:cs="方正仿宋_GBK"/>
          <w:color w:val="auto"/>
          <w:kern w:val="2"/>
        </w:rPr>
        <w:t>结合重庆实际，</w:t>
      </w:r>
      <w:r>
        <w:rPr>
          <w:rFonts w:hint="eastAsia" w:cs="方正仿宋_GBK"/>
          <w:color w:val="auto"/>
          <w:kern w:val="2"/>
        </w:rPr>
        <w:t>为切实做好我市202</w:t>
      </w:r>
      <w:r>
        <w:rPr>
          <w:rFonts w:hint="eastAsia" w:cs="方正仿宋_GBK"/>
          <w:color w:val="auto"/>
          <w:kern w:val="2"/>
        </w:rPr>
        <w:t>3</w:t>
      </w:r>
      <w:r>
        <w:rPr>
          <w:rFonts w:hint="eastAsia" w:cs="方正仿宋_GBK"/>
          <w:color w:val="auto"/>
          <w:kern w:val="2"/>
        </w:rPr>
        <w:t>年夏季粮油收购工作，现将有关事项通知如下</w:t>
      </w:r>
      <w:r>
        <w:rPr>
          <w:rFonts w:hint="eastAsia" w:cs="方正仿宋_GBK"/>
          <w:color w:val="auto"/>
          <w:kern w:val="2"/>
        </w:rPr>
        <w:t>：</w:t>
      </w:r>
    </w:p>
    <w:p>
      <w:pPr>
        <w:numPr>
          <w:ilvl w:val="255"/>
          <w:numId w:val="0"/>
        </w:num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eastAsia="方正黑体_GBK" w:cs="方正黑体_GBK"/>
          <w:color w:val="auto"/>
          <w:kern w:val="2"/>
        </w:rPr>
      </w:pPr>
      <w:r>
        <w:rPr>
          <w:rFonts w:hint="eastAsia" w:eastAsia="方正黑体_GBK" w:cs="方正黑体_GBK"/>
          <w:b w:val="0"/>
          <w:bCs w:val="0"/>
          <w:color w:val="auto"/>
          <w:kern w:val="2"/>
        </w:rPr>
        <w:t>一、提高</w:t>
      </w:r>
      <w:r>
        <w:rPr>
          <w:rFonts w:hint="eastAsia" w:eastAsia="方正黑体_GBK" w:cs="方正黑体_GBK"/>
          <w:b w:val="0"/>
          <w:bCs w:val="0"/>
          <w:color w:val="auto"/>
          <w:kern w:val="2"/>
        </w:rPr>
        <w:t>思想认识</w:t>
      </w:r>
      <w:r>
        <w:rPr>
          <w:rFonts w:hint="eastAsia" w:eastAsia="方正黑体_GBK" w:cs="方正黑体_GBK"/>
          <w:b w:val="0"/>
          <w:bCs w:val="0"/>
          <w:color w:val="auto"/>
          <w:kern w:val="2"/>
        </w:rPr>
        <w:t>，</w:t>
      </w:r>
      <w:r>
        <w:rPr>
          <w:rFonts w:hint="eastAsia" w:eastAsia="方正黑体_GBK" w:cs="方正黑体_GBK"/>
          <w:b w:val="0"/>
          <w:bCs w:val="0"/>
          <w:color w:val="auto"/>
          <w:kern w:val="2"/>
        </w:rPr>
        <w:t>强化</w:t>
      </w:r>
      <w:r>
        <w:rPr>
          <w:rFonts w:hint="eastAsia" w:eastAsia="方正黑体_GBK" w:cs="方正黑体_GBK"/>
          <w:b w:val="0"/>
          <w:bCs w:val="0"/>
          <w:color w:val="auto"/>
          <w:kern w:val="2"/>
        </w:rPr>
        <w:t>责任</w:t>
      </w:r>
      <w:r>
        <w:rPr>
          <w:rFonts w:hint="eastAsia" w:eastAsia="方正黑体_GBK" w:cs="方正黑体_GBK"/>
          <w:b w:val="0"/>
          <w:bCs w:val="0"/>
          <w:color w:val="auto"/>
          <w:kern w:val="2"/>
        </w:rPr>
        <w:t>担当</w:t>
      </w:r>
    </w:p>
    <w:p>
      <w:pPr>
        <w:numPr>
          <w:ilvl w:val="255"/>
          <w:numId w:val="0"/>
        </w:num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cs="方正仿宋_GBK"/>
          <w:color w:val="auto"/>
          <w:kern w:val="2"/>
          <w:shd w:val="clear" w:color="auto" w:fill="FFFFFF"/>
        </w:rPr>
      </w:pPr>
      <w:r>
        <w:rPr>
          <w:rFonts w:hint="eastAsia" w:cs="方正仿宋_GBK"/>
          <w:color w:val="auto"/>
          <w:kern w:val="2"/>
          <w:shd w:val="clear" w:color="auto" w:fill="FFFFFF"/>
        </w:rPr>
        <w:t>今年</w:t>
      </w:r>
      <w:r>
        <w:rPr>
          <w:rFonts w:hint="eastAsia" w:cs="方正仿宋_GBK"/>
          <w:color w:val="auto"/>
          <w:kern w:val="2"/>
          <w:shd w:val="clear" w:color="auto" w:fill="FFFFFF"/>
        </w:rPr>
        <w:t>是全面贯彻落实党的二十大精神的开局之年，做好粮食工作、保障粮食安全意义重大。</w:t>
      </w:r>
      <w:r>
        <w:rPr>
          <w:rFonts w:hint="eastAsia" w:cs="方正仿宋_GBK"/>
          <w:color w:val="auto"/>
          <w:kern w:val="2"/>
          <w:shd w:val="clear" w:color="auto" w:fill="FFFFFF"/>
        </w:rPr>
        <w:t>抓好夏粮收购</w:t>
      </w:r>
      <w:r>
        <w:rPr>
          <w:rFonts w:hint="eastAsia" w:cs="方正仿宋_GBK"/>
          <w:color w:val="auto"/>
          <w:kern w:val="2"/>
          <w:shd w:val="clear" w:color="auto" w:fill="FFFFFF"/>
        </w:rPr>
        <w:t>是保障粮食稳定安全供给、全方位夯实粮食安全根基的重要举措，是维护粮食市场平稳运行、保护种粮</w:t>
      </w:r>
      <w:r>
        <w:rPr>
          <w:rFonts w:hint="eastAsia" w:cs="方正仿宋_GBK"/>
          <w:color w:val="auto"/>
          <w:kern w:val="2"/>
          <w:shd w:val="clear" w:color="auto" w:fill="FFFFFF"/>
        </w:rPr>
        <w:t>农民</w:t>
      </w:r>
      <w:r>
        <w:rPr>
          <w:rFonts w:hint="eastAsia" w:cs="方正仿宋_GBK"/>
          <w:color w:val="auto"/>
          <w:kern w:val="2"/>
          <w:shd w:val="clear" w:color="auto" w:fill="FFFFFF"/>
        </w:rPr>
        <w:t>利益的现实需要。</w:t>
      </w:r>
      <w:r>
        <w:rPr>
          <w:rFonts w:hint="eastAsia" w:cs="方正仿宋_GBK"/>
          <w:color w:val="auto"/>
          <w:kern w:val="2"/>
          <w:shd w:val="clear" w:color="auto" w:fill="FFFFFF"/>
        </w:rPr>
        <w:t>要</w:t>
      </w:r>
      <w:r>
        <w:rPr>
          <w:rFonts w:hint="eastAsia" w:cs="方正仿宋_GBK"/>
          <w:color w:val="auto"/>
          <w:kern w:val="2"/>
          <w:shd w:val="clear" w:color="auto" w:fill="FFFFFF"/>
        </w:rPr>
        <w:t>始终以习近平新时代中国特色社会主义思想为指导，严格</w:t>
      </w:r>
      <w:r>
        <w:rPr>
          <w:rFonts w:hint="eastAsia" w:cs="方正仿宋_GBK"/>
          <w:color w:val="auto"/>
          <w:kern w:val="2"/>
          <w:shd w:val="clear" w:color="auto" w:fill="FFFFFF"/>
        </w:rPr>
        <w:t>落实粮食安全</w:t>
      </w:r>
      <w:r>
        <w:rPr>
          <w:rFonts w:hint="eastAsia" w:cs="方正仿宋_GBK"/>
          <w:color w:val="auto"/>
          <w:kern w:val="2"/>
          <w:shd w:val="clear" w:color="auto" w:fill="FFFFFF"/>
        </w:rPr>
        <w:t>党政同责要求，把夏粮收购落实落细</w:t>
      </w:r>
      <w:r>
        <w:rPr>
          <w:rFonts w:hint="eastAsia" w:cs="方正仿宋_GBK"/>
          <w:color w:val="auto"/>
          <w:kern w:val="2"/>
          <w:shd w:val="clear" w:color="auto" w:fill="FFFFFF"/>
        </w:rPr>
        <w:t>，压实责任，</w:t>
      </w:r>
      <w:r>
        <w:rPr>
          <w:rFonts w:hint="eastAsia" w:cs="方正仿宋_GBK"/>
          <w:color w:val="auto"/>
          <w:kern w:val="2"/>
          <w:shd w:val="clear" w:color="auto" w:fill="FFFFFF"/>
        </w:rPr>
        <w:t>担当作为</w:t>
      </w:r>
      <w:r>
        <w:rPr>
          <w:rFonts w:hint="eastAsia" w:cs="方正仿宋_GBK"/>
          <w:color w:val="auto"/>
          <w:kern w:val="2"/>
          <w:shd w:val="clear" w:color="auto" w:fill="FFFFFF"/>
        </w:rPr>
        <w:t>，切实守住农民“种粮卖得出”的底线。</w:t>
      </w:r>
    </w:p>
    <w:p>
      <w:pPr>
        <w:numPr>
          <w:ilvl w:val="255"/>
          <w:numId w:val="0"/>
        </w:num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eastAsia="方正黑体_GBK" w:cs="方正黑体_GBK"/>
          <w:color w:val="auto"/>
          <w:kern w:val="2"/>
          <w:shd w:val="clear" w:color="auto" w:fill="auto"/>
        </w:rPr>
        <w:t>二、</w:t>
      </w:r>
      <w:r>
        <w:rPr>
          <w:rFonts w:hint="eastAsia" w:ascii="Times New Roman" w:hAnsi="Times New Roman" w:eastAsia="方正黑体_GBK" w:cs="方正黑体_GBK"/>
          <w:color w:val="auto"/>
          <w:kern w:val="2"/>
        </w:rPr>
        <w:t>强化主体作用</w:t>
      </w:r>
      <w:r>
        <w:rPr>
          <w:rFonts w:hint="eastAsia" w:eastAsia="方正黑体_GBK" w:cs="方正黑体_GBK"/>
          <w:b w:val="0"/>
          <w:color w:val="auto"/>
          <w:kern w:val="2"/>
          <w:shd w:val="clear" w:color="auto" w:fill="auto"/>
        </w:rPr>
        <w:t>，抓好市场化收购</w:t>
      </w: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cs="方正仿宋_GBK"/>
          <w:color w:val="auto"/>
          <w:kern w:val="2"/>
          <w:shd w:val="clear" w:color="auto" w:fill="FFFFFF"/>
        </w:rPr>
      </w:pPr>
      <w:r>
        <w:rPr>
          <w:rFonts w:hint="eastAsia" w:cs="方正仿宋_GBK"/>
          <w:color w:val="auto"/>
          <w:kern w:val="2"/>
          <w:sz w:val="32"/>
          <w:szCs w:val="32"/>
        </w:rPr>
        <w:t>加强收购统筹组织</w:t>
      </w:r>
      <w:r>
        <w:rPr>
          <w:rFonts w:hint="eastAsia" w:cs="方正仿宋_GBK"/>
          <w:color w:val="auto"/>
          <w:kern w:val="2"/>
          <w:shd w:val="clear" w:color="auto" w:fill="FFFFFF"/>
        </w:rPr>
        <w:t>，</w:t>
      </w:r>
      <w:r>
        <w:rPr>
          <w:rFonts w:hint="eastAsia" w:cs="方正仿宋_GBK"/>
          <w:color w:val="auto"/>
          <w:kern w:val="2"/>
          <w:shd w:val="clear" w:color="auto" w:fill="FFFFFF"/>
        </w:rPr>
        <w:t>充分发挥市场配置粮食资源的决定性作用，</w:t>
      </w:r>
      <w:r>
        <w:rPr>
          <w:rFonts w:hint="eastAsia" w:cs="方正仿宋_GBK"/>
          <w:color w:val="auto"/>
          <w:kern w:val="2"/>
          <w:shd w:val="clear" w:color="auto" w:fill="FFFFFF"/>
        </w:rPr>
        <w:t>引导各类市场主体按照自主经营、自负盈亏的原则，积极入市开展小麦、油菜籽市场化收购。要深化</w:t>
      </w:r>
      <w:r>
        <w:rPr>
          <w:rFonts w:hint="eastAsia" w:cs="方正仿宋_GBK"/>
          <w:color w:val="auto"/>
          <w:kern w:val="2"/>
          <w:shd w:val="clear" w:color="auto" w:fill="FFFFFF"/>
        </w:rPr>
        <w:t>粮食</w:t>
      </w:r>
      <w:r>
        <w:rPr>
          <w:rFonts w:hint="eastAsia" w:cs="方正仿宋_GBK"/>
          <w:color w:val="auto"/>
          <w:kern w:val="2"/>
          <w:shd w:val="clear" w:color="auto" w:fill="FFFFFF"/>
        </w:rPr>
        <w:t>产销合作，引导</w:t>
      </w:r>
      <w:r>
        <w:rPr>
          <w:rFonts w:hint="eastAsia" w:cs="方正仿宋_GBK"/>
          <w:color w:val="auto"/>
          <w:kern w:val="2"/>
          <w:shd w:val="clear" w:color="auto" w:fill="FFFFFF"/>
        </w:rPr>
        <w:t>收购</w:t>
      </w:r>
      <w:r>
        <w:rPr>
          <w:rFonts w:hint="eastAsia" w:cs="方正仿宋_GBK"/>
          <w:color w:val="auto"/>
          <w:kern w:val="2"/>
          <w:shd w:val="clear" w:color="auto" w:fill="FFFFFF"/>
        </w:rPr>
        <w:t>企业</w:t>
      </w:r>
      <w:r>
        <w:rPr>
          <w:rFonts w:hint="eastAsia" w:cs="方正仿宋_GBK"/>
          <w:color w:val="auto"/>
          <w:kern w:val="2"/>
          <w:shd w:val="clear" w:color="auto" w:fill="FFFFFF"/>
        </w:rPr>
        <w:t>与产区建立</w:t>
      </w:r>
      <w:r>
        <w:rPr>
          <w:rFonts w:hint="eastAsia" w:cs="方正仿宋_GBK"/>
          <w:color w:val="auto"/>
          <w:kern w:val="2"/>
          <w:shd w:val="clear" w:color="auto" w:fill="FFFFFF"/>
        </w:rPr>
        <w:t>长期稳定、高效精准的</w:t>
      </w:r>
      <w:r>
        <w:rPr>
          <w:rFonts w:hint="eastAsia" w:cs="方正仿宋_GBK"/>
          <w:color w:val="auto"/>
          <w:kern w:val="2"/>
          <w:shd w:val="clear" w:color="auto" w:fill="FFFFFF"/>
        </w:rPr>
        <w:t>产销</w:t>
      </w:r>
      <w:r>
        <w:rPr>
          <w:rFonts w:hint="eastAsia" w:cs="方正仿宋_GBK"/>
          <w:color w:val="auto"/>
          <w:kern w:val="2"/>
          <w:shd w:val="clear" w:color="auto" w:fill="FFFFFF"/>
        </w:rPr>
        <w:t>合作关系。要积极促进农企对接，鼓励</w:t>
      </w:r>
      <w:r>
        <w:rPr>
          <w:rFonts w:hint="eastAsia" w:cs="方正仿宋_GBK"/>
          <w:color w:val="auto"/>
          <w:kern w:val="2"/>
          <w:shd w:val="clear" w:color="auto" w:fill="FFFFFF"/>
        </w:rPr>
        <w:t>收购</w:t>
      </w:r>
      <w:r>
        <w:rPr>
          <w:rFonts w:hint="eastAsia" w:cs="方正仿宋_GBK"/>
          <w:color w:val="auto"/>
          <w:kern w:val="2"/>
          <w:shd w:val="clear" w:color="auto" w:fill="FFFFFF"/>
        </w:rPr>
        <w:t>企业主动与家庭农场、农民合作社等新型农业经营主体建立稳固的购销关系，</w:t>
      </w:r>
      <w:r>
        <w:rPr>
          <w:rFonts w:hint="eastAsia" w:cs="方正仿宋_GBK"/>
          <w:color w:val="auto"/>
          <w:kern w:val="2"/>
          <w:shd w:val="clear" w:color="auto" w:fill="FFFFFF"/>
        </w:rPr>
        <w:t>帮助农民便捷顺畅售粮。</w:t>
      </w:r>
    </w:p>
    <w:p>
      <w:pPr>
        <w:numPr>
          <w:ilvl w:val="255"/>
          <w:numId w:val="0"/>
        </w:num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eastAsia="方正黑体_GBK" w:cs="方正黑体_GBK"/>
          <w:b w:val="0"/>
          <w:bCs w:val="0"/>
          <w:color w:val="auto"/>
          <w:kern w:val="2"/>
          <w:shd w:val="clear" w:color="auto" w:fill="auto"/>
        </w:rPr>
        <w:t>三、做好收购准备，</w:t>
      </w:r>
      <w:r>
        <w:rPr>
          <w:rFonts w:hint="eastAsia" w:ascii="Times New Roman" w:hAnsi="Times New Roman" w:eastAsia="方正黑体_GBK" w:cs="方正黑体_GBK"/>
          <w:color w:val="auto"/>
          <w:kern w:val="2"/>
        </w:rPr>
        <w:t>规范仓储管理</w:t>
      </w:r>
    </w:p>
    <w:p>
      <w:pPr>
        <w:tabs>
          <w:tab w:val="left" w:pos="921"/>
        </w:tabs>
        <w:overflowPunct w:val="0"/>
        <w:adjustRightInd/>
        <w:spacing w:before="0" w:after="0" w:line="240" w:lineRule="auto"/>
        <w:ind w:firstLine="632" w:firstLineChars="200"/>
        <w:jc w:val="both"/>
        <w:textAlignment w:val="auto"/>
        <w:rPr>
          <w:rFonts w:hint="eastAsia" w:cs="方正仿宋_GBK"/>
          <w:color w:val="auto"/>
          <w:kern w:val="2"/>
          <w:shd w:val="clear" w:color="auto" w:fill="FFFFFF"/>
        </w:rPr>
      </w:pPr>
      <w:r>
        <w:rPr>
          <w:rFonts w:hint="eastAsia" w:cs="方正仿宋_GBK"/>
          <w:color w:val="auto"/>
          <w:kern w:val="2"/>
          <w:shd w:val="clear" w:color="auto" w:fill="FFFFFF"/>
        </w:rPr>
        <w:t>结合当地夏粮生产实际开展调查研究，深入基层、沉到一线，广泛听取种粮农民、收购企业的意见建议，科学安排夏粮收购工作。</w:t>
      </w:r>
      <w:r>
        <w:rPr>
          <w:rFonts w:hint="eastAsia" w:cs="方正仿宋_GBK"/>
          <w:color w:val="auto"/>
          <w:kern w:val="2"/>
          <w:shd w:val="clear" w:color="auto" w:fill="FFFFFF"/>
        </w:rPr>
        <w:t>要督促</w:t>
      </w:r>
      <w:r>
        <w:rPr>
          <w:rFonts w:hint="eastAsia" w:cs="方正仿宋_GBK"/>
          <w:color w:val="auto"/>
          <w:kern w:val="2"/>
          <w:shd w:val="clear" w:color="auto" w:fill="FFFFFF"/>
        </w:rPr>
        <w:t>指导收购</w:t>
      </w:r>
      <w:r>
        <w:rPr>
          <w:rFonts w:hint="eastAsia" w:cs="方正仿宋_GBK"/>
          <w:color w:val="auto"/>
          <w:kern w:val="2"/>
          <w:shd w:val="clear" w:color="auto" w:fill="FFFFFF"/>
        </w:rPr>
        <w:t>企业做好前期准备工作，推进收购</w:t>
      </w:r>
      <w:r>
        <w:rPr>
          <w:rFonts w:hint="eastAsia" w:cs="方正仿宋_GBK"/>
          <w:color w:val="auto"/>
          <w:kern w:val="2"/>
          <w:shd w:val="clear" w:color="auto" w:fill="FFFFFF"/>
        </w:rPr>
        <w:t>仓容和</w:t>
      </w:r>
      <w:r>
        <w:rPr>
          <w:rFonts w:hint="eastAsia" w:cs="方正仿宋_GBK"/>
          <w:color w:val="auto"/>
          <w:kern w:val="2"/>
          <w:shd w:val="clear" w:color="auto" w:fill="FFFFFF"/>
        </w:rPr>
        <w:t>资金落实、人员上岗培训、仪器设备配置等工作</w:t>
      </w:r>
      <w:r>
        <w:rPr>
          <w:rFonts w:hint="eastAsia" w:cs="方正仿宋_GBK"/>
          <w:color w:val="auto"/>
          <w:kern w:val="2"/>
          <w:shd w:val="clear" w:color="auto" w:fill="FFFFFF"/>
        </w:rPr>
        <w:t>，</w:t>
      </w:r>
      <w:r>
        <w:rPr>
          <w:rFonts w:hint="eastAsia" w:cs="方正仿宋_GBK"/>
          <w:color w:val="auto"/>
          <w:kern w:val="2"/>
          <w:shd w:val="clear" w:color="auto" w:fill="FFFFFF"/>
        </w:rPr>
        <w:t>确保有人收粮、</w:t>
      </w:r>
      <w:r>
        <w:rPr>
          <w:rFonts w:hint="eastAsia" w:cs="方正仿宋_GBK"/>
          <w:color w:val="auto"/>
          <w:kern w:val="2"/>
          <w:shd w:val="clear" w:color="auto" w:fill="FFFFFF"/>
        </w:rPr>
        <w:t>有钱收粮、</w:t>
      </w:r>
      <w:r>
        <w:rPr>
          <w:rFonts w:hint="eastAsia" w:cs="方正仿宋_GBK"/>
          <w:color w:val="auto"/>
          <w:kern w:val="2"/>
          <w:shd w:val="clear" w:color="auto" w:fill="FFFFFF"/>
        </w:rPr>
        <w:t>有仓收粮、有车</w:t>
      </w:r>
      <w:r>
        <w:rPr>
          <w:rFonts w:hint="eastAsia" w:cs="方正仿宋_GBK"/>
          <w:color w:val="auto"/>
          <w:kern w:val="2"/>
          <w:shd w:val="clear" w:color="auto" w:fill="FFFFFF"/>
        </w:rPr>
        <w:t>运</w:t>
      </w:r>
      <w:r>
        <w:rPr>
          <w:rFonts w:hint="eastAsia" w:cs="方正仿宋_GBK"/>
          <w:color w:val="auto"/>
          <w:kern w:val="2"/>
          <w:shd w:val="clear" w:color="auto" w:fill="FFFFFF"/>
        </w:rPr>
        <w:t>粮。</w:t>
      </w:r>
      <w:r>
        <w:rPr>
          <w:rFonts w:hint="eastAsia" w:cs="方正仿宋_GBK"/>
          <w:color w:val="auto"/>
          <w:kern w:val="2"/>
          <w:shd w:val="clear" w:color="auto" w:fill="FFFFFF"/>
        </w:rPr>
        <w:t>加强作业人员安全教育和管理，严防安全生产事故发生。</w:t>
      </w:r>
    </w:p>
    <w:p>
      <w:pPr>
        <w:numPr>
          <w:ilvl w:val="255"/>
          <w:numId w:val="0"/>
        </w:numPr>
        <w:overflowPunct w:val="0"/>
        <w:adjustRightInd/>
        <w:spacing w:before="0" w:after="0" w:line="240" w:lineRule="auto"/>
        <w:ind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eastAsia="方正黑体_GBK" w:cs="方正黑体_GBK"/>
          <w:b w:val="0"/>
          <w:bCs w:val="0"/>
          <w:color w:val="auto"/>
          <w:kern w:val="2"/>
          <w:shd w:val="clear" w:color="auto" w:fill="auto"/>
        </w:rPr>
        <w:t>四、强化市场监测，做好宣传引导</w:t>
      </w:r>
    </w:p>
    <w:p>
      <w:pPr>
        <w:tabs>
          <w:tab w:val="left" w:pos="921"/>
        </w:tabs>
        <w:overflowPunct w:val="0"/>
        <w:adjustRightInd/>
        <w:spacing w:before="0" w:after="0" w:line="240" w:lineRule="auto"/>
        <w:ind w:firstLine="632" w:firstLineChars="200"/>
        <w:jc w:val="both"/>
        <w:textAlignment w:val="auto"/>
        <w:rPr>
          <w:rFonts w:hint="eastAsia" w:cs="方正仿宋_GBK"/>
          <w:color w:val="auto"/>
          <w:kern w:val="2"/>
          <w:shd w:val="clear" w:color="auto" w:fill="FFFFFF"/>
        </w:rPr>
      </w:pPr>
      <w:r>
        <w:rPr>
          <w:rFonts w:hint="eastAsia" w:cs="方正仿宋_GBK"/>
          <w:color w:val="auto"/>
          <w:kern w:val="2"/>
          <w:shd w:val="clear" w:color="auto" w:fill="FFFFFF"/>
        </w:rPr>
        <w:t>强化粮食市场监测预警，开展形势分析研判，及时发现和解决苗头性、倾向性、潜在性问题。要认真做好</w:t>
      </w:r>
      <w:r>
        <w:rPr>
          <w:rFonts w:hint="eastAsia" w:cs="方正仿宋_GBK"/>
          <w:color w:val="auto"/>
          <w:kern w:val="2"/>
          <w:shd w:val="clear" w:color="auto" w:fill="FFFFFF"/>
        </w:rPr>
        <w:t>夏粮</w:t>
      </w:r>
      <w:r>
        <w:rPr>
          <w:rFonts w:hint="eastAsia" w:cs="方正仿宋_GBK"/>
          <w:color w:val="auto"/>
          <w:kern w:val="2"/>
          <w:shd w:val="clear" w:color="auto" w:fill="FFFFFF"/>
        </w:rPr>
        <w:t>收购进度统计工作，根据需要适时组织开展对粮食经纪人、种粮大户、合作社等主体的粮食购销情况调查，及时掌握收购进展及价格行情。要加强预期引导，主动发布粮食生产、质量、价格、供求、收购进度等信息，为广大种粮农民和市场经营者提供信息服务。</w:t>
      </w:r>
    </w:p>
    <w:p>
      <w:pPr>
        <w:numPr>
          <w:ilvl w:val="255"/>
          <w:numId w:val="0"/>
        </w:numPr>
        <w:overflowPunct w:val="0"/>
        <w:adjustRightInd/>
        <w:spacing w:before="0" w:after="0" w:line="240" w:lineRule="auto"/>
        <w:ind w:left="0"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</w:rPr>
        <w:t>五、</w:t>
      </w:r>
      <w:r>
        <w:rPr>
          <w:rFonts w:hint="eastAsia" w:eastAsia="方正黑体_GBK" w:cs="方正黑体_GBK"/>
          <w:b w:val="0"/>
          <w:bCs w:val="0"/>
          <w:color w:val="auto"/>
          <w:kern w:val="2"/>
          <w:shd w:val="clear" w:color="auto" w:fill="auto"/>
        </w:rPr>
        <w:t>加强监督检查，维护收购秩序</w:t>
      </w:r>
    </w:p>
    <w:p>
      <w:pPr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 w:cs="方正仿宋_GBK"/>
          <w:color w:val="auto"/>
          <w:kern w:val="2"/>
          <w:shd w:val="clear" w:color="auto" w:fill="FFFFFF"/>
        </w:rPr>
      </w:pPr>
      <w:r>
        <w:rPr>
          <w:rFonts w:hint="eastAsia" w:cs="方正仿宋_GBK"/>
          <w:color w:val="auto"/>
          <w:kern w:val="2"/>
          <w:shd w:val="clear" w:color="auto" w:fill="FFFFFF"/>
        </w:rPr>
        <w:t>加强粮食收购活动的监督检查，发挥12325全国粮食监管热线作用，严肃查处</w:t>
      </w:r>
      <w:r>
        <w:rPr>
          <w:rFonts w:hint="eastAsia" w:cs="方正仿宋_GBK"/>
          <w:color w:val="auto"/>
          <w:kern w:val="2"/>
          <w:shd w:val="clear" w:color="auto" w:fill="FFFFFF"/>
        </w:rPr>
        <w:t>“克扣斤两”“压级压价”“打白条”</w:t>
      </w:r>
      <w:r>
        <w:rPr>
          <w:rFonts w:hint="eastAsia" w:cs="方正仿宋_GBK"/>
          <w:color w:val="auto"/>
          <w:kern w:val="2"/>
          <w:shd w:val="clear" w:color="auto" w:fill="FFFFFF"/>
        </w:rPr>
        <w:t>等损害群众利益</w:t>
      </w:r>
      <w:r>
        <w:rPr>
          <w:rFonts w:hint="eastAsia" w:cs="方正仿宋_GBK"/>
          <w:color w:val="auto"/>
          <w:kern w:val="2"/>
          <w:shd w:val="clear" w:color="auto" w:fill="FFFFFF"/>
        </w:rPr>
        <w:t>的</w:t>
      </w:r>
      <w:r>
        <w:rPr>
          <w:rFonts w:hint="eastAsia" w:cs="方正仿宋_GBK"/>
          <w:color w:val="auto"/>
          <w:kern w:val="2"/>
          <w:shd w:val="clear" w:color="auto" w:fill="FFFFFF"/>
        </w:rPr>
        <w:t>违法违规行为，</w:t>
      </w:r>
      <w:r>
        <w:rPr>
          <w:rFonts w:hint="eastAsia" w:cs="方正仿宋_GBK"/>
          <w:color w:val="auto"/>
          <w:kern w:val="2"/>
          <w:shd w:val="clear" w:color="auto" w:fill="FFFFFF"/>
        </w:rPr>
        <w:t>引导企业遵纪守法、诚信经营，</w:t>
      </w:r>
      <w:r>
        <w:rPr>
          <w:rFonts w:hint="eastAsia" w:cs="方正仿宋_GBK"/>
          <w:color w:val="auto"/>
          <w:kern w:val="2"/>
          <w:shd w:val="clear" w:color="auto" w:fill="FFFFFF"/>
        </w:rPr>
        <w:t>维护正常的粮食收购市场秩序。</w:t>
      </w:r>
      <w:r>
        <w:rPr>
          <w:rFonts w:hint="eastAsia" w:cs="方正仿宋_GBK"/>
          <w:color w:val="auto"/>
          <w:kern w:val="2"/>
          <w:shd w:val="clear" w:color="auto" w:fill="FFFFFF"/>
        </w:rPr>
        <w:t>重大问题及时向当地党委、政府和市级有关部门报告。</w:t>
      </w:r>
    </w:p>
    <w:p>
      <w:pPr>
        <w:numPr>
          <w:ilvl w:val="0"/>
          <w:numId w:val="0"/>
        </w:numPr>
        <w:tabs>
          <w:tab w:val="left" w:pos="921"/>
        </w:tabs>
        <w:overflowPunct w:val="0"/>
        <w:adjustRightInd/>
        <w:spacing w:before="0" w:after="0" w:line="240" w:lineRule="auto"/>
        <w:ind w:left="0" w:firstLine="0" w:firstLineChars="0"/>
        <w:jc w:val="both"/>
        <w:textAlignment w:val="auto"/>
        <w:rPr>
          <w:color w:val="auto"/>
          <w:kern w:val="2"/>
          <w:shd w:val="clear" w:color="auto" w:fill="FFFFFF"/>
        </w:rPr>
      </w:pPr>
    </w:p>
    <w:p>
      <w:pPr>
        <w:overflowPunct w:val="0"/>
        <w:adjustRightInd/>
        <w:spacing w:before="0" w:after="0" w:line="240" w:lineRule="auto"/>
        <w:ind w:firstLine="0"/>
        <w:textAlignment w:val="auto"/>
        <w:rPr>
          <w:color w:val="auto"/>
          <w:kern w:val="2"/>
        </w:rPr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auto"/>
        <w:rPr>
          <w:color w:val="auto"/>
          <w:kern w:val="2"/>
        </w:rPr>
      </w:pPr>
    </w:p>
    <w:p>
      <w:pPr>
        <w:overflowPunct w:val="0"/>
        <w:adjustRightInd/>
        <w:spacing w:before="0" w:after="0" w:line="240" w:lineRule="auto"/>
        <w:ind w:firstLine="5436" w:firstLineChars="1720"/>
        <w:textAlignment w:val="auto"/>
        <w:rPr>
          <w:color w:val="auto"/>
          <w:kern w:val="2"/>
        </w:rPr>
      </w:pPr>
      <w:r>
        <w:rPr>
          <w:color w:val="auto"/>
          <w:kern w:val="2"/>
        </w:rPr>
        <w:t>重庆市</w:t>
      </w:r>
      <w:r>
        <w:rPr>
          <w:color w:val="auto"/>
          <w:kern w:val="2"/>
        </w:rPr>
        <w:t>粮食局</w:t>
      </w:r>
    </w:p>
    <w:p>
      <w:pPr>
        <w:overflowPunct w:val="0"/>
        <w:adjustRightInd/>
        <w:spacing w:before="0" w:after="0" w:line="240" w:lineRule="auto"/>
        <w:ind w:right="0" w:rightChars="0"/>
        <w:rPr>
          <w:color w:val="auto"/>
        </w:rPr>
      </w:pPr>
      <w:r>
        <w:rPr>
          <w:rFonts w:hint="eastAsia"/>
          <w:color w:val="auto"/>
          <w:kern w:val="2"/>
          <w:lang w:val="en-US" w:eastAsia="zh-CN"/>
        </w:rPr>
        <w:t xml:space="preserve">                                 </w:t>
      </w:r>
      <w:r>
        <w:rPr>
          <w:color w:val="auto"/>
          <w:kern w:val="2"/>
        </w:rPr>
        <w:t>202</w:t>
      </w:r>
      <w:r>
        <w:rPr>
          <w:color w:val="auto"/>
          <w:kern w:val="2"/>
        </w:rPr>
        <w:t>3</w:t>
      </w:r>
      <w:r>
        <w:rPr>
          <w:color w:val="auto"/>
          <w:kern w:val="2"/>
        </w:rPr>
        <w:t>年5月</w:t>
      </w:r>
      <w:r>
        <w:rPr>
          <w:rFonts w:hint="eastAsia"/>
          <w:color w:val="auto"/>
          <w:kern w:val="2"/>
          <w:lang w:val="en-US" w:eastAsia="zh-CN"/>
        </w:rPr>
        <w:t>22</w:t>
      </w:r>
      <w:r>
        <w:rPr>
          <w:color w:val="auto"/>
          <w:kern w:val="2"/>
        </w:rPr>
        <w:t>日</w:t>
      </w:r>
      <w:r>
        <w:rPr>
          <w:rFonts w:hint="eastAsia" w:eastAsia="方正黑体_GBK"/>
          <w:color w:val="auto"/>
          <w:kern w:val="2"/>
          <w:lang w:val="en-US" w:eastAsia="zh-CN"/>
        </w:rPr>
        <w:t xml:space="preserve">        </w:t>
      </w:r>
      <w:bookmarkEnd w:id="1"/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overflowPunct w:val="0"/>
        <w:adjustRightInd/>
        <w:spacing w:before="0" w:after="0" w:line="240" w:lineRule="auto"/>
        <w:rPr>
          <w:color w:val="auto"/>
        </w:rPr>
      </w:pPr>
    </w:p>
    <w:p>
      <w:pPr>
        <w:pBdr>
          <w:bottom w:val="none" w:color="auto" w:sz="0" w:space="0"/>
        </w:pBdr>
        <w:overflowPunct w:val="0"/>
        <w:adjustRightInd/>
        <w:spacing w:before="0" w:after="0" w:line="500" w:lineRule="exact"/>
        <w:rPr>
          <w:color w:val="auto"/>
        </w:rPr>
      </w:pPr>
    </w:p>
    <w:p>
      <w:pPr>
        <w:pBdr>
          <w:top w:val="single" w:color="auto" w:sz="12" w:space="0"/>
          <w:bottom w:val="single" w:color="auto" w:sz="12" w:space="0"/>
        </w:pBdr>
        <w:overflowPunct w:val="0"/>
        <w:adjustRightInd/>
        <w:spacing w:before="0" w:after="0" w:line="24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</w:p>
    <w:sectPr>
      <w:footerReference r:id="rId5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/>
      <w:snapToGrid/>
      <w:spacing w:after="0" w:line="240" w:lineRule="auto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adjustRightInd/>
                  <w:snapToGrid/>
                  <w:spacing w:after="0" w:line="240" w:lineRule="auto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_GBK" w:hAnsi="方正仿宋_GBK" w:cs="方正仿宋_GBK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/>
      <w:snapToGrid/>
      <w:spacing w:after="0" w:line="240" w:lineRule="auto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A275B"/>
    <w:rsid w:val="000B4A22"/>
    <w:rsid w:val="000C0BF7"/>
    <w:rsid w:val="000C2FB2"/>
    <w:rsid w:val="000C6B28"/>
    <w:rsid w:val="000F25BF"/>
    <w:rsid w:val="001024AA"/>
    <w:rsid w:val="001056AD"/>
    <w:rsid w:val="00182501"/>
    <w:rsid w:val="00185691"/>
    <w:rsid w:val="001D3042"/>
    <w:rsid w:val="001E71C2"/>
    <w:rsid w:val="001F7BBB"/>
    <w:rsid w:val="0026218B"/>
    <w:rsid w:val="0026530B"/>
    <w:rsid w:val="00296D93"/>
    <w:rsid w:val="002B04C6"/>
    <w:rsid w:val="00301B6D"/>
    <w:rsid w:val="00301CEE"/>
    <w:rsid w:val="00396CAE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271C6"/>
    <w:rsid w:val="005777F4"/>
    <w:rsid w:val="005C221C"/>
    <w:rsid w:val="005C7EAE"/>
    <w:rsid w:val="006042BD"/>
    <w:rsid w:val="006068C6"/>
    <w:rsid w:val="0063154E"/>
    <w:rsid w:val="006A30D0"/>
    <w:rsid w:val="007043DC"/>
    <w:rsid w:val="0072131F"/>
    <w:rsid w:val="00731C1B"/>
    <w:rsid w:val="00737083"/>
    <w:rsid w:val="00765BC9"/>
    <w:rsid w:val="007770A5"/>
    <w:rsid w:val="00793720"/>
    <w:rsid w:val="00794916"/>
    <w:rsid w:val="007B0DE3"/>
    <w:rsid w:val="007F394F"/>
    <w:rsid w:val="007F46CB"/>
    <w:rsid w:val="00815223"/>
    <w:rsid w:val="00831787"/>
    <w:rsid w:val="00860A47"/>
    <w:rsid w:val="008642D8"/>
    <w:rsid w:val="00891C35"/>
    <w:rsid w:val="008935D1"/>
    <w:rsid w:val="008B74C0"/>
    <w:rsid w:val="009048D5"/>
    <w:rsid w:val="00904AFE"/>
    <w:rsid w:val="0092122C"/>
    <w:rsid w:val="009220DF"/>
    <w:rsid w:val="00965CCB"/>
    <w:rsid w:val="00972E17"/>
    <w:rsid w:val="00995785"/>
    <w:rsid w:val="009A5EB0"/>
    <w:rsid w:val="009E1F1F"/>
    <w:rsid w:val="00A40C10"/>
    <w:rsid w:val="00A443C1"/>
    <w:rsid w:val="00A955CD"/>
    <w:rsid w:val="00B1777D"/>
    <w:rsid w:val="00B42928"/>
    <w:rsid w:val="00B51CD6"/>
    <w:rsid w:val="00B833D8"/>
    <w:rsid w:val="00C464A8"/>
    <w:rsid w:val="00C6762A"/>
    <w:rsid w:val="00C739C4"/>
    <w:rsid w:val="00CF2FA9"/>
    <w:rsid w:val="00CF737B"/>
    <w:rsid w:val="00D01740"/>
    <w:rsid w:val="00D471B4"/>
    <w:rsid w:val="00D7295A"/>
    <w:rsid w:val="00D878F1"/>
    <w:rsid w:val="00D97CFB"/>
    <w:rsid w:val="00DB38C2"/>
    <w:rsid w:val="00E03841"/>
    <w:rsid w:val="00E770E1"/>
    <w:rsid w:val="00E93235"/>
    <w:rsid w:val="00ED5B9D"/>
    <w:rsid w:val="00F14A44"/>
    <w:rsid w:val="00F63B69"/>
    <w:rsid w:val="00F76AAF"/>
    <w:rsid w:val="00F830E2"/>
    <w:rsid w:val="00FA4D84"/>
    <w:rsid w:val="02EE3EFC"/>
    <w:rsid w:val="0B8765DD"/>
    <w:rsid w:val="21943206"/>
    <w:rsid w:val="21D35E4B"/>
    <w:rsid w:val="325B436F"/>
    <w:rsid w:val="3C843CCE"/>
    <w:rsid w:val="469D4D01"/>
    <w:rsid w:val="4DF665E7"/>
    <w:rsid w:val="55A54027"/>
    <w:rsid w:val="5CFD27E7"/>
    <w:rsid w:val="61C96508"/>
    <w:rsid w:val="71575DA8"/>
    <w:rsid w:val="7667571E"/>
    <w:rsid w:val="7B4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160"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rFonts w:eastAsia="方正仿宋_GBK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1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2009-06-08T14:26:00Z</cp:lastPrinted>
  <dcterms:modified xsi:type="dcterms:W3CDTF">2023-05-23T02:32:51Z</dcterms:modified>
  <dc:title>重庆市计委关于巫山县小小三峡手扒岩至平河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6DADAEA5D10B49218D3CC4D62F1237F8</vt:lpwstr>
  </property>
  <property fmtid="{D5CDD505-2E9C-101B-9397-08002B2CF9AE}" pid="3" name="KSOProductBuildVer">
    <vt:lpwstr>2052-11.8.2.9022</vt:lpwstr>
  </property>
</Properties>
</file>