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 w:line="240" w:lineRule="auto"/>
        <w:rPr>
          <w:rFonts w:ascii="方正黑体_GBK" w:hAnsi="黑体" w:eastAsia="方正黑体_GBK"/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rFonts w:ascii="方正黑体_GBK" w:hAnsi="黑体" w:eastAsia="方正黑体_GBK"/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rFonts w:ascii="方正黑体_GBK" w:hAnsi="黑体" w:eastAsia="方正黑体_GBK"/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bCs/>
          <w:color w:val="000000" w:themeColor="text1"/>
        </w:rPr>
      </w:pPr>
    </w:p>
    <w:p>
      <w:pPr>
        <w:adjustRightInd/>
        <w:spacing w:beforeLines="0" w:afterLines="0" w:line="240" w:lineRule="auto"/>
        <w:rPr>
          <w:bCs/>
          <w:color w:val="000000" w:themeColor="text1"/>
        </w:rPr>
      </w:pPr>
    </w:p>
    <w:p>
      <w:pPr>
        <w:adjustRightInd/>
        <w:spacing w:beforeLines="0" w:afterLines="0" w:line="240" w:lineRule="auto"/>
        <w:jc w:val="center"/>
        <w:rPr>
          <w:rFonts w:hint="eastAsia" w:ascii="方正仿宋_GBK" w:hAnsi="方正仿宋_GBK" w:cs="方正仿宋_GBK"/>
          <w:bCs/>
          <w:color w:val="000000" w:themeColor="text1"/>
        </w:rPr>
      </w:pPr>
      <w:r>
        <w:rPr>
          <w:rFonts w:hint="eastAsia" w:ascii="方正仿宋_GBK" w:hAnsi="方正仿宋_GBK" w:eastAsia="方正仿宋_GBK" w:cs="方正仿宋_GBK"/>
          <w:vanish w:val="0"/>
          <w:color w:val="000000" w:themeColor="text1"/>
          <w:kern w:val="2"/>
        </w:rPr>
        <w:t>渝发改投资〔</w:t>
      </w:r>
      <w:r>
        <w:rPr>
          <w:rFonts w:hint="eastAsia" w:eastAsia="方正仿宋_GBK" w:cs="方正仿宋_GBK"/>
          <w:vanish w:val="0"/>
          <w:color w:val="000000" w:themeColor="text1"/>
          <w:kern w:val="2"/>
        </w:rPr>
        <w:t>2023</w:t>
      </w:r>
      <w:r>
        <w:rPr>
          <w:rFonts w:hint="eastAsia" w:ascii="方正仿宋_GBK" w:hAnsi="方正仿宋_GBK" w:eastAsia="方正仿宋_GBK" w:cs="方正仿宋_GBK"/>
          <w:vanish w:val="0"/>
          <w:color w:val="000000" w:themeColor="text1"/>
          <w:kern w:val="2"/>
        </w:rPr>
        <w:t>〕</w:t>
      </w:r>
      <w:r>
        <w:rPr>
          <w:rFonts w:hint="eastAsia" w:eastAsia="方正仿宋_GBK" w:cs="方正仿宋_GBK"/>
          <w:vanish w:val="0"/>
          <w:color w:val="000000" w:themeColor="text1"/>
          <w:kern w:val="2"/>
        </w:rPr>
        <w:t>213</w:t>
      </w:r>
      <w:r>
        <w:rPr>
          <w:rFonts w:hint="eastAsia" w:ascii="方正仿宋_GBK" w:hAnsi="方正仿宋_GBK" w:eastAsia="方正仿宋_GBK" w:cs="方正仿宋_GBK"/>
          <w:vanish w:val="0"/>
          <w:color w:val="000000" w:themeColor="text1"/>
          <w:kern w:val="2"/>
        </w:rPr>
        <w:t>号</w:t>
      </w:r>
    </w:p>
    <w:p>
      <w:pPr>
        <w:adjustRightInd/>
        <w:spacing w:beforeLines="0" w:afterLines="0" w:line="240" w:lineRule="auto"/>
        <w:jc w:val="center"/>
        <w:rPr>
          <w:bCs/>
          <w:color w:val="000000" w:themeColor="text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 w:themeColor="text1"/>
          <w:kern w:val="0"/>
          <w:sz w:val="20"/>
          <w:szCs w:val="20"/>
        </w:rPr>
      </w:pPr>
      <w:bookmarkStart w:id="0" w:name="正文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关于印发《关于重庆市推进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基础设施不动产投资信托基金（</w:t>
      </w:r>
      <w:r>
        <w:rPr>
          <w:rFonts w:hint="eastAsia" w:ascii="Times New Roman" w:hAnsi="Times New Roman" w:eastAsia="方正小标宋_GBK" w:cs="方正小标宋_GBK"/>
          <w:color w:val="000000" w:themeColor="text1"/>
          <w:kern w:val="2"/>
          <w:sz w:val="44"/>
          <w:szCs w:val="44"/>
        </w:rPr>
        <w:t>REITs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color w:val="000000" w:themeColor="text1"/>
          <w:kern w:val="2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产业发展的若干措施》的通知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2"/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  <w:t>各区县（自治县）人民政府，市政府有关部门，有关单位：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</w:rPr>
        <w:t>为推动我市基础设施领域不动产投资信托基金</w:t>
      </w:r>
      <w:r>
        <w:rPr>
          <w:rFonts w:hint="eastAsia"/>
          <w:color w:val="000000" w:themeColor="text1"/>
        </w:rPr>
        <w:t>（REITs）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有序发展，有效盘活存量资产，形成市场主导的投资内生增长机制，提升资本市场服务实体经济的质效，促进全市基础设施高质量发展，特制定《关于重庆市推进基础设施不动产投资信托基金</w:t>
      </w:r>
      <w:r>
        <w:rPr>
          <w:rFonts w:hint="eastAsia"/>
          <w:color w:val="000000" w:themeColor="text1"/>
        </w:rPr>
        <w:t>（REITs）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产业发展的若干措施》，经市政府同意，现印发给你们，请结合实际贯彻落实。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pacing w:before="0" w:beforeLines="0" w:beforeAutospacing="0" w:after="0" w:afterLines="0" w:afterAutospacing="0" w:line="240" w:lineRule="auto"/>
        <w:ind w:left="0" w:leftChars="0" w:right="0" w:firstLine="316" w:firstLineChars="100"/>
        <w:jc w:val="both"/>
        <w:textAlignment w:val="auto"/>
        <w:rPr>
          <w:rFonts w:hint="default" w:ascii="方正仿宋_GBK" w:hAnsi="方正仿宋_GBK" w:cs="方正仿宋_GBK"/>
          <w:color w:val="000000" w:themeColor="text1"/>
          <w:kern w:val="2"/>
        </w:rPr>
      </w:pPr>
      <w:r>
        <w:rPr>
          <w:rFonts w:hint="eastAsia" w:ascii="方正仿宋_GBK" w:hAnsi="方正仿宋_GBK" w:cs="方正仿宋_GBK"/>
          <w:color w:val="000000" w:themeColor="text1"/>
          <w:kern w:val="2"/>
        </w:rPr>
        <w:t>重庆市发展和改革委员会          重庆市财政局</w:t>
      </w:r>
      <w:r>
        <w:rPr>
          <w:rFonts w:hint="eastAsia" w:ascii="方正仿宋_GBK" w:hAnsi="方正仿宋_GBK" w:cs="方正仿宋_GBK"/>
          <w:color w:val="000000" w:themeColor="text1"/>
          <w:kern w:val="2"/>
          <w:lang w:val="en-US" w:eastAsia="zh-CN"/>
        </w:rPr>
        <w:t xml:space="preserve">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pacing w:before="0" w:beforeLines="0" w:beforeAutospacing="0" w:after="0" w:afterLines="0" w:afterAutospacing="0" w:line="240" w:lineRule="auto"/>
        <w:ind w:left="0" w:right="0" w:firstLine="0" w:firstLineChars="0"/>
        <w:jc w:val="both"/>
        <w:textAlignment w:val="auto"/>
        <w:rPr>
          <w:rFonts w:hint="default" w:ascii="方正仿宋_GBK" w:hAnsi="方正仿宋_GBK" w:cs="方正仿宋_GBK"/>
          <w:color w:val="000000" w:themeColor="text1"/>
          <w:kern w:val="2"/>
        </w:rPr>
      </w:pPr>
      <w:r>
        <w:rPr>
          <w:rFonts w:hint="eastAsia" w:ascii="方正仿宋_GBK" w:hAnsi="方正仿宋_GBK" w:cs="方正仿宋_GBK"/>
          <w:color w:val="000000" w:themeColor="text1"/>
          <w:kern w:val="2"/>
        </w:rPr>
        <w:t xml:space="preserve">重庆市人力资源和社会保障局  </w:t>
      </w:r>
      <w:r>
        <w:rPr>
          <w:rFonts w:hint="eastAsia" w:ascii="方正仿宋_GBK" w:hAnsi="方正仿宋_GBK" w:cs="方正仿宋_GBK"/>
          <w:color w:val="000000" w:themeColor="text1"/>
          <w:kern w:val="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 xml:space="preserve"> 重庆市规划和自然资源局</w:t>
      </w:r>
      <w:r>
        <w:rPr>
          <w:rFonts w:hint="eastAsia" w:ascii="方正仿宋_GBK" w:hAnsi="方正仿宋_GBK" w:cs="方正仿宋_GBK"/>
          <w:color w:val="000000" w:themeColor="text1"/>
          <w:kern w:val="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0" w:right="0" w:firstLine="0" w:firstLineChars="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  <w:r>
        <w:rPr>
          <w:rFonts w:hint="eastAsia" w:ascii="方正仿宋_GBK" w:hAnsi="方正仿宋_GBK" w:cs="方正仿宋_GBK"/>
          <w:color w:val="000000" w:themeColor="text1"/>
          <w:kern w:val="2"/>
        </w:rPr>
        <w:t>重庆市国有资产监督管理委员会    重庆市地方金融监督管理局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Lines="0" w:beforeAutospacing="0" w:after="0" w:afterLines="0" w:afterAutospacing="0" w:line="240" w:lineRule="auto"/>
        <w:ind w:left="4160" w:right="0" w:hanging="4108" w:hangingChars="1300"/>
        <w:jc w:val="right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textAlignment w:val="auto"/>
        <w:outlineLvl w:val="2"/>
        <w:rPr>
          <w:rFonts w:hint="eastAsia" w:cs="方正仿宋_GBK"/>
          <w:color w:val="000000" w:themeColor="text1"/>
          <w:kern w:val="2"/>
        </w:rPr>
      </w:pPr>
      <w:r>
        <w:rPr>
          <w:rFonts w:hint="eastAsia" w:ascii="方正仿宋_GBK" w:hAnsi="方正仿宋_GBK" w:cs="方正仿宋_GBK"/>
          <w:color w:val="000000" w:themeColor="text1"/>
          <w:spacing w:val="-11"/>
          <w:kern w:val="2"/>
        </w:rPr>
        <w:t xml:space="preserve">国家税务总局重庆市税务局    </w:t>
      </w:r>
      <w:r>
        <w:rPr>
          <w:rFonts w:hint="eastAsia" w:ascii="方正仿宋_GBK" w:hAnsi="方正仿宋_GBK" w:cs="方正仿宋_GBK"/>
          <w:color w:val="000000" w:themeColor="text1"/>
          <w:spacing w:val="-11"/>
          <w:kern w:val="2"/>
        </w:rPr>
        <w:t>中国证券监督管理委员会重庆监管局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5372" w:firstLineChars="1700"/>
        <w:textAlignment w:val="auto"/>
        <w:outlineLvl w:val="2"/>
        <w:rPr>
          <w:rFonts w:hint="default" w:ascii="方正仿宋_GBK" w:hAnsi="方正仿宋_GBK" w:cs="方正仿宋_GBK"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</w:rPr>
        <w:t>2023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  <w:t>年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  <w:t>月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eastAsia="zh-CN"/>
        </w:rPr>
        <w:t>1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  <w:t>日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 xml:space="preserve">    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2"/>
          <w:szCs w:val="32"/>
        </w:r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重庆市推进基础设施不动产投资信托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基金</w:t>
      </w:r>
      <w:r>
        <w:rPr>
          <w:rFonts w:hint="default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（</w:t>
      </w:r>
      <w:r>
        <w:rPr>
          <w:rFonts w:hint="default" w:eastAsia="方正小标宋_GBK" w:cs="方正小标宋_GBK"/>
          <w:color w:val="000000" w:themeColor="text1"/>
          <w:kern w:val="2"/>
          <w:sz w:val="44"/>
          <w:szCs w:val="44"/>
        </w:rPr>
        <w:t>REITs</w:t>
      </w:r>
      <w:r>
        <w:rPr>
          <w:rFonts w:hint="default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</w:rPr>
        <w:t>产业发展若干措施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lang w:bidi="ar"/>
        </w:r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  <w:szCs w:val="32"/>
          <w:lang w:bidi="ar"/>
        </w:rPr>
        <w:t>基础设施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领域不动产投资信托基金（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）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  <w:lang w:bidi="ar"/>
        </w:rPr>
        <w:t>是深化基础设施投融资体制改革和金融体制改革的重要举措，是建立基础设施全生命周期发展机制的重要内容，是促进基础设施高质量发展的重要保障。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为推动我市基础设施</w:t>
      </w:r>
      <w:r>
        <w:rPr>
          <w:rFonts w:hint="eastAsia" w:cs="方正仿宋_GBK"/>
          <w:color w:val="000000" w:themeColor="text1"/>
          <w:kern w:val="2"/>
          <w:szCs w:val="32"/>
        </w:rPr>
        <w:t>REITs有序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发展，有效盘活存量资产，形成存量资产和新增投资的良性循环，加快西部金融中心建设，根据《关于推进基础设施领域不动产投资信托基金（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）试点相关工作的通知》（证监发〔</w:t>
      </w:r>
      <w:r>
        <w:rPr>
          <w:rFonts w:hint="eastAsia" w:cs="方正仿宋_GBK"/>
          <w:color w:val="000000" w:themeColor="text1"/>
          <w:kern w:val="2"/>
          <w:szCs w:val="32"/>
        </w:rPr>
        <w:t>2020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〕</w:t>
      </w:r>
      <w:r>
        <w:rPr>
          <w:rFonts w:hint="eastAsia" w:cs="方正仿宋_GBK"/>
          <w:color w:val="000000" w:themeColor="text1"/>
          <w:kern w:val="2"/>
          <w:szCs w:val="32"/>
        </w:rPr>
        <w:t>40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号）和《关于进一步做好基础设施领域不动产投资信托基金（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）试点工作的通知》（发改投资〔</w:t>
      </w:r>
      <w:r>
        <w:rPr>
          <w:rFonts w:hint="eastAsia" w:cs="方正仿宋_GBK"/>
          <w:color w:val="000000" w:themeColor="text1"/>
          <w:kern w:val="2"/>
          <w:szCs w:val="32"/>
        </w:rPr>
        <w:t>2021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〕</w:t>
      </w:r>
      <w:r>
        <w:rPr>
          <w:rFonts w:hint="eastAsia" w:cs="方正仿宋_GBK"/>
          <w:color w:val="000000" w:themeColor="text1"/>
          <w:kern w:val="2"/>
          <w:szCs w:val="32"/>
        </w:rPr>
        <w:t>958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号）等文件精神，结合我市实际，提出以下措施。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  <w:t>一、加强项目储备推介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（一）营造良好宣传氛围。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通过面向相关政府部门、国有企业、潜在投资人等开展业务培训、交流座谈、调研等多种方式，加强基础设施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政策解读，总结典型经验，推广成功案例，提高企业及机构参与试点的意愿和能力。（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责任单位：市发展改革委、重庆证监局）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（二）做好项目储备与培育孵化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。积极开展基础设施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项目梳理，建立基础设施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库，按照项目情况分类纳入意向库、储备库和发行库。对纳入意向库的项目，推动原始权益人完善手续，在确保项目权责明晰、运营稳定、风险可控的前提下，鼓励符合条件的意向项目转为储备项目。对纳入储备库的项目，积极支持原始权益人开展试点申报，加强项目策划、遴选、申报、发行、运行等全过程服务，形成“试点一批、储备一批、谋划一批”的滚动实施机制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责任单位：市发展改革委、市国资委、有关区县政府）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（三）建立公开透明的项目审核流程。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支持本市符合条件的企业申报基础设施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试点，鼓励川渝两地企业联合申报基础设施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项目。项目申报及审核过程中，对本市和市外企业一视同仁，公平对待。建立公开透明的审核工作流程，基础设施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试点项目即报即审，成熟一个，申报一个。（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责任单位：市发展改革委）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（四）加大优质基础设施</w:t>
      </w:r>
      <w:r>
        <w:rPr>
          <w:rFonts w:hint="eastAsia" w:eastAsia="方正楷体_GBK" w:cs="方正楷体_GBK"/>
          <w:color w:val="000000" w:themeColor="text1"/>
          <w:kern w:val="2"/>
          <w:szCs w:val="32"/>
        </w:rPr>
        <w:t>REITs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项目宣传力度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。通过线上、线下宣传推介等方式，推动银行、资产管理公司、政府产业基金、企业年金等参与基础设施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产品的战略配售和投资，鼓励合格境外投资者、私募证券投资基金参与基础设施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产品投资，鼓励符合条件的在渝商业银行、证券公司、资产管理机构等代理销售基础设施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产品。（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责任单位：市发展改革委、市金融监管局、重庆证监局）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  <w:t>二、完善配套支持政策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（五）加大财税、土地、国资等领域支持力度。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落实国家有关税收优惠政策，对运营期分红按照政策规定享受企业所得税优惠，对列入《公共基础设施项目企业所得税优惠目录》的项目可按规定享受企业所得税减免优惠。支持符合条件的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管理机构享受西部大开发税收优惠政策，减按</w:t>
      </w:r>
      <w:r>
        <w:rPr>
          <w:rFonts w:hint="eastAsia" w:cs="方正仿宋_GBK"/>
          <w:color w:val="000000" w:themeColor="text1"/>
          <w:kern w:val="2"/>
          <w:szCs w:val="32"/>
        </w:rPr>
        <w:t>1</w:t>
      </w:r>
      <w:r>
        <w:rPr>
          <w:color w:val="000000" w:themeColor="text1"/>
          <w:kern w:val="2"/>
          <w:szCs w:val="32"/>
        </w:rPr>
        <w:t>5%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的税率征收企业所得税。对基础设施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项目土地权属等事项办理，开通绿色服务通道，给予便利支持。对国家出资企业及其子企业发行基础设施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项目涉及国有产权非公开协议转让的，按规定报同级国有资产监督管理机构批准。（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责任单位：市财政局、市发展改革委、市规划自然资源局、市国资委、重庆市税务局）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（六）建立基础设施</w:t>
      </w:r>
      <w:r>
        <w:rPr>
          <w:rFonts w:hint="eastAsia" w:eastAsia="方正楷体_GBK" w:cs="方正楷体_GBK"/>
          <w:color w:val="000000" w:themeColor="text1"/>
          <w:kern w:val="2"/>
          <w:szCs w:val="32"/>
        </w:rPr>
        <w:t>REITs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项目投资良性循环机制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。鼓励企业通过发行基础设施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盘活存量资产、优化融资结构，支持盘活资金用于补短板项目和新型基础设施项目，形成新增投资的良性循环。对于回收资金在盘活存量资产、带动新增投资方面成效显著的企业，同等条件下，优先支持争取中央预算内资金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责任单位：市发展改革委）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08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-6"/>
          <w:kern w:val="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spacing w:val="-6"/>
          <w:kern w:val="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6"/>
          <w:kern w:val="2"/>
          <w:szCs w:val="32"/>
        </w:rPr>
        <w:t>七）培育引进基础设施</w:t>
      </w:r>
      <w:r>
        <w:rPr>
          <w:rFonts w:hint="eastAsia" w:eastAsia="方正楷体_GBK" w:cs="方正楷体_GBK"/>
          <w:color w:val="000000" w:themeColor="text1"/>
          <w:spacing w:val="-6"/>
          <w:kern w:val="2"/>
          <w:szCs w:val="32"/>
        </w:rPr>
        <w:t>REITs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6"/>
          <w:kern w:val="2"/>
          <w:szCs w:val="32"/>
        </w:rPr>
        <w:t>领域领军人才</w:t>
      </w:r>
      <w:r>
        <w:rPr>
          <w:rFonts w:hint="eastAsia" w:ascii="方正仿宋_GBK" w:hAnsi="方正仿宋_GBK" w:cs="方正仿宋_GBK"/>
          <w:color w:val="000000" w:themeColor="text1"/>
          <w:spacing w:val="-6"/>
          <w:kern w:val="2"/>
          <w:szCs w:val="32"/>
        </w:rPr>
        <w:t>。引进基础设施</w:t>
      </w:r>
      <w:r>
        <w:rPr>
          <w:rFonts w:hint="eastAsia" w:cs="方正仿宋_GBK"/>
          <w:color w:val="000000" w:themeColor="text1"/>
          <w:spacing w:val="-6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spacing w:val="-6"/>
          <w:kern w:val="2"/>
          <w:szCs w:val="32"/>
        </w:rPr>
        <w:t>领域优秀人才，支持符合条件的基础设施</w:t>
      </w:r>
      <w:r>
        <w:rPr>
          <w:rFonts w:hint="eastAsia" w:cs="方正仿宋_GBK"/>
          <w:color w:val="000000" w:themeColor="text1"/>
          <w:spacing w:val="-6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spacing w:val="-6"/>
          <w:kern w:val="2"/>
          <w:szCs w:val="32"/>
        </w:rPr>
        <w:t>领军人才参加重庆市高端人才评选活动，按规定享受对应人才待遇。对行业领军人才在落户、房屋购租、子女入学等方面给予政策支持。结合引进人才做出的实际贡献，鼓励落户所在区和园区给予配套支持和奖励。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-6"/>
          <w:kern w:val="2"/>
          <w:szCs w:val="32"/>
        </w:rPr>
        <w:t>责任单位：市人力社保局、重庆证监局）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  <w:szCs w:val="24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24"/>
        </w:rPr>
        <w:t>（八）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24"/>
          <w:lang w:eastAsia="zh-CN"/>
        </w:rPr>
        <w:t>提高基础设施</w:t>
      </w:r>
      <w:r>
        <w:rPr>
          <w:rFonts w:hint="eastAsia" w:cs="方正仿宋_GBK"/>
          <w:color w:val="000000" w:themeColor="text1"/>
          <w:kern w:val="2"/>
          <w:szCs w:val="24"/>
        </w:rPr>
        <w:t>REIT</w:t>
      </w:r>
      <w:r>
        <w:rPr>
          <w:rFonts w:hint="eastAsia" w:ascii="Times New Roman" w:hAnsi="Times New Roman" w:eastAsia="方正楷体_GBK" w:cs="方正楷体_GBK"/>
          <w:color w:val="000000" w:themeColor="text1"/>
          <w:kern w:val="2"/>
          <w:szCs w:val="24"/>
        </w:rPr>
        <w:t>s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24"/>
          <w:lang w:eastAsia="zh-CN"/>
        </w:rPr>
        <w:t>项目运营管理水平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24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Cs w:val="24"/>
          <w:lang w:eastAsia="zh-CN"/>
        </w:rPr>
        <w:t>推动基础设施</w:t>
      </w:r>
      <w:r>
        <w:rPr>
          <w:rFonts w:hint="eastAsia" w:cs="方正仿宋_GBK"/>
          <w:color w:val="000000" w:themeColor="text1"/>
          <w:kern w:val="2"/>
          <w:szCs w:val="24"/>
        </w:rPr>
        <w:t>REITs</w:t>
      </w:r>
      <w:r>
        <w:rPr>
          <w:rFonts w:hint="eastAsia" w:cs="方正仿宋_GBK"/>
          <w:color w:val="000000" w:themeColor="text1"/>
          <w:kern w:val="2"/>
          <w:szCs w:val="24"/>
          <w:lang w:eastAsia="zh-CN"/>
        </w:rPr>
        <w:t>基金管理人与运营管理机构健全运营机制，更好发挥原始权益人在项目运营管理中的专业作用，保障项目持续稳定运行。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</w:rPr>
        <w:t>支持市属国有企业通过引进优质运营团队、与优质基础设施运营机构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  <w:lang w:eastAsia="zh-CN"/>
        </w:rPr>
        <w:t>合资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</w:rPr>
        <w:t>合作等方式提高运营能力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  <w:lang w:eastAsia="zh-CN"/>
        </w:rPr>
        <w:t>，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</w:rPr>
        <w:t>提升基础设施</w:t>
      </w:r>
      <w:r>
        <w:rPr>
          <w:rFonts w:hint="eastAsia" w:cs="方正仿宋_GBK"/>
          <w:color w:val="000000" w:themeColor="text1"/>
          <w:kern w:val="2"/>
          <w:szCs w:val="24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  <w:lang w:eastAsia="zh-CN"/>
        </w:rPr>
        <w:t>项目运营效率和服务水平</w:t>
      </w:r>
      <w:r>
        <w:rPr>
          <w:rFonts w:hint="eastAsia" w:ascii="方正仿宋_GBK" w:hAnsi="方正仿宋_GBK" w:cs="方正仿宋_GBK"/>
          <w:color w:val="000000" w:themeColor="text1"/>
          <w:kern w:val="2"/>
          <w:szCs w:val="24"/>
        </w:rPr>
        <w:t>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24"/>
        </w:rPr>
        <w:t>责任单位：市国资委、市发展改革委）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九）培育发展基础设施</w:t>
      </w:r>
      <w:r>
        <w:rPr>
          <w:rFonts w:hint="eastAsia" w:eastAsia="方正楷体_GBK" w:cs="方正楷体_GBK"/>
          <w:color w:val="000000" w:themeColor="text1"/>
          <w:kern w:val="2"/>
          <w:szCs w:val="32"/>
        </w:rPr>
        <w:t>REITs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相关服务机构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。鼓励基金管理人、</w:t>
      </w:r>
      <w:r>
        <w:rPr>
          <w:rFonts w:hint="eastAsia" w:cs="方正仿宋_GBK"/>
          <w:color w:val="000000" w:themeColor="text1"/>
          <w:kern w:val="2"/>
          <w:szCs w:val="32"/>
        </w:rPr>
        <w:t>ABS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管理人、会计师事务所、资产评估机构等机构做优做强。依托全市基础设施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项目库，搭建项目与相关服务机构的沟通平台，构建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良好生态。（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责任单位：重庆证监局、市金融监管局、市财政局）</w:t>
      </w:r>
    </w:p>
    <w:p>
      <w:pPr>
        <w:keepNext w:val="0"/>
        <w:keepLines w:val="0"/>
        <w:pageBreakBefore w:val="0"/>
        <w:numPr>
          <w:ilvl w:val="12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（十）鼓励机构申请公募基金管理人资质。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支持在渝企业通过新设、收购等方式，申请公募基金管理人资质并开展基础设施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业务。鼓励优质公募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基金管理人在渝设立总部或分支机构。对在本市新设立或新迁入的持牌公募基金管理人（法人机构）给予政策支持和相应激励，按其注册资本规模给予一次性奖励。（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责任单位：市财政局、市金融监管局、重庆证监局）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Cs w:val="32"/>
        </w:rPr>
        <w:t>三、加强组织保障和风险防范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（十一）建立健全基础设施</w:t>
      </w:r>
      <w:r>
        <w:rPr>
          <w:rFonts w:hint="eastAsia" w:eastAsia="方正楷体_GBK" w:cs="方正楷体_GBK"/>
          <w:color w:val="000000" w:themeColor="text1"/>
          <w:kern w:val="2"/>
          <w:szCs w:val="32"/>
        </w:rPr>
        <w:t>REITs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工作协调机制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。建立发改、证监、财政、人社、规自、住建、国资、金融监管、税务等部门共同参与的常态化工作协调机制，统筹推进全市基础设施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产业发展。协调解决试点过程中的重点难点问题，完善财政、国资、土地、人力等领域配套支持政策，指导协调各区县（自治县）、</w:t>
      </w:r>
      <w:bookmarkStart w:id="1" w:name="_GoBack"/>
      <w:bookmarkEnd w:id="1"/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各部门统筹推进基础设施</w:t>
      </w:r>
      <w:r>
        <w:rPr>
          <w:rFonts w:hint="eastAsia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工作。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（责任单位：市发展改革委、重庆证监局等市级有关部门和单位）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cs="方正仿宋_GBK"/>
          <w:color w:val="000000" w:themeColor="text1"/>
          <w:kern w:val="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（十二）推动相关主体归位尽责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。加强监督管理，严格落实诚实守信、勤勉尽责义务，推动原始权益人、基金管理人、运营管理机构、中介机构等归位尽责，履行主体责任。严厉打击</w:t>
      </w:r>
      <w:r>
        <w:rPr>
          <w:rFonts w:hint="eastAsia" w:ascii="Times New Roman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业务活动中的违法违规行为，切实保护投资者的合法权益，建立健全对违法违规主体及行为的联合惩戒协同机制，坚决防范地方政府隐性债务风险，推动基础设施</w:t>
      </w:r>
      <w:r>
        <w:rPr>
          <w:rFonts w:hint="eastAsia" w:ascii="Times New Roman" w:cs="方正仿宋_GBK"/>
          <w:color w:val="000000" w:themeColor="text1"/>
          <w:kern w:val="2"/>
          <w:szCs w:val="32"/>
        </w:rPr>
        <w:t>REITs</w:t>
      </w:r>
      <w:r>
        <w:rPr>
          <w:rFonts w:hint="eastAsia" w:ascii="方正仿宋_GBK" w:hAnsi="方正仿宋_GBK" w:cs="方正仿宋_GBK"/>
          <w:color w:val="000000" w:themeColor="text1"/>
          <w:kern w:val="2"/>
          <w:szCs w:val="32"/>
        </w:rPr>
        <w:t>健康规范发展。（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Cs w:val="32"/>
        </w:rPr>
        <w:t>责任单位：市发展改革委、重庆证监局、市财政局）</w:t>
      </w: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Cs w:val="32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  <w:sectPr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000000" w:themeColor="text1"/>
          <w:kern w:val="2"/>
          <w:sz w:val="28"/>
          <w:szCs w:val="28"/>
        </w:rPr>
      </w:pPr>
    </w:p>
    <w:p>
      <w:pPr>
        <w:adjustRightInd/>
        <w:spacing w:beforeLines="0" w:after="0" w:afterLines="0" w:line="240" w:lineRule="auto"/>
        <w:textAlignment w:val="auto"/>
        <w:rPr>
          <w:color w:val="auto"/>
          <w:kern w:val="0"/>
          <w:szCs w:val="32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adjustRightInd/>
        <w:spacing w:beforeLines="0" w:afterLines="0" w:line="240" w:lineRule="auto"/>
        <w:rPr>
          <w:rFonts w:hint="default"/>
          <w:lang w:val="en-US" w:eastAsia="zh-CN"/>
        </w:rPr>
      </w:pPr>
    </w:p>
    <w:p>
      <w:pPr>
        <w:pBdr>
          <w:bottom w:val="none" w:color="auto" w:sz="0" w:space="0"/>
        </w:pBdr>
        <w:spacing w:line="460" w:lineRule="exact"/>
        <w:rPr>
          <w:rFonts w:hint="default"/>
          <w:sz w:val="28"/>
          <w:szCs w:val="28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spacing w:line="240" w:lineRule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footerReference r:id="rId5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方正仿宋_GBK"/>
        <w:lang w:val="en-US" w:eastAsia="zh-CN"/>
      </w:rPr>
    </w:pPr>
    <w:r>
      <w:rPr>
        <w:rFonts w:hint="eastAsia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767DE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46543"/>
    <w:rsid w:val="00965CCB"/>
    <w:rsid w:val="00972E17"/>
    <w:rsid w:val="00974193"/>
    <w:rsid w:val="009A5EB0"/>
    <w:rsid w:val="00A40C10"/>
    <w:rsid w:val="00A443C1"/>
    <w:rsid w:val="00A955CD"/>
    <w:rsid w:val="00B1777D"/>
    <w:rsid w:val="00B3247A"/>
    <w:rsid w:val="00B51CD6"/>
    <w:rsid w:val="00B73014"/>
    <w:rsid w:val="00B833D8"/>
    <w:rsid w:val="00BF0A53"/>
    <w:rsid w:val="00C355D8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87C70"/>
    <w:rsid w:val="00E93235"/>
    <w:rsid w:val="00ED5B9D"/>
    <w:rsid w:val="00F14A44"/>
    <w:rsid w:val="00F62083"/>
    <w:rsid w:val="00F63B69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6B6FFA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A30398A"/>
    <w:rsid w:val="4AC07792"/>
    <w:rsid w:val="4CE7092E"/>
    <w:rsid w:val="4E252DB9"/>
    <w:rsid w:val="5073301F"/>
    <w:rsid w:val="545424E6"/>
    <w:rsid w:val="54E47F11"/>
    <w:rsid w:val="55835057"/>
    <w:rsid w:val="5BC50A62"/>
    <w:rsid w:val="5EA15BAD"/>
    <w:rsid w:val="60050F24"/>
    <w:rsid w:val="61561366"/>
    <w:rsid w:val="6383212C"/>
    <w:rsid w:val="647F2C37"/>
    <w:rsid w:val="65E0558A"/>
    <w:rsid w:val="68E8683A"/>
    <w:rsid w:val="694D661D"/>
    <w:rsid w:val="696E3491"/>
    <w:rsid w:val="6AFF5937"/>
    <w:rsid w:val="6C3D2854"/>
    <w:rsid w:val="6D5A6A42"/>
    <w:rsid w:val="6DA203FA"/>
    <w:rsid w:val="6E163EDE"/>
    <w:rsid w:val="726C3FD1"/>
    <w:rsid w:val="73815F40"/>
    <w:rsid w:val="73A474D2"/>
    <w:rsid w:val="75A692E0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4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2023-02-17T08:29:00Z</cp:lastPrinted>
  <dcterms:modified xsi:type="dcterms:W3CDTF">2023-02-20T03:17:13Z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