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/>
        <w:spacing w:line="240" w:lineRule="auto"/>
        <w:jc w:val="left"/>
        <w:rPr>
          <w:rFonts w:hint="eastAsia" w:eastAsia="方正黑体_GBK" w:cs="方正黑体_GBK"/>
          <w:color w:val="000000"/>
          <w:szCs w:val="32"/>
          <w:lang w:eastAsia="zh-CN"/>
        </w:rPr>
      </w:pPr>
      <w:r>
        <w:rPr>
          <w:rFonts w:hint="eastAsia" w:ascii="Times New Roman" w:hAnsi="Times New Roman" w:eastAsia="方正黑体_GBK" w:cs="方正黑体_GBK"/>
          <w:color w:val="000000"/>
          <w:szCs w:val="32"/>
        </w:rPr>
        <w:t>附</w:t>
      </w:r>
      <w:r>
        <w:rPr>
          <w:rFonts w:hint="eastAsia" w:eastAsia="方正黑体_GBK" w:cs="方正黑体_GBK"/>
          <w:color w:val="000000"/>
          <w:szCs w:val="32"/>
          <w:lang w:eastAsia="zh-CN"/>
        </w:rPr>
        <w:t>件</w:t>
      </w:r>
    </w:p>
    <w:p>
      <w:pPr>
        <w:overflowPunct w:val="0"/>
        <w:adjustRightInd/>
        <w:spacing w:line="240" w:lineRule="auto"/>
        <w:jc w:val="left"/>
        <w:rPr>
          <w:rFonts w:hint="eastAsia" w:eastAsia="方正黑体_GBK" w:cs="方正黑体_GBK"/>
          <w:color w:val="000000"/>
          <w:szCs w:val="32"/>
          <w:lang w:eastAsia="zh-CN"/>
        </w:rPr>
      </w:pPr>
    </w:p>
    <w:p>
      <w:pPr>
        <w:overflowPunct w:val="0"/>
        <w:adjustRightInd/>
        <w:spacing w:line="580" w:lineRule="exact"/>
        <w:jc w:val="center"/>
        <w:rPr>
          <w:rFonts w:hint="eastAsia" w:ascii="Times New Roman" w:hAnsi="Times New Roman" w:eastAsia="方正黑体_GBK" w:cs="方正黑体_GBK"/>
          <w:color w:val="000000"/>
          <w:szCs w:val="32"/>
        </w:rPr>
      </w:pPr>
      <w:bookmarkStart w:id="0" w:name="_GoBack"/>
      <w:r>
        <w:rPr>
          <w:rFonts w:eastAsia="方正小标宋_GBK"/>
          <w:color w:val="000000"/>
          <w:sz w:val="44"/>
          <w:szCs w:val="44"/>
        </w:rPr>
        <w:t>重庆市产业投资准入政策汇总表</w:t>
      </w:r>
    </w:p>
    <w:bookmarkEnd w:id="0"/>
    <w:tbl>
      <w:tblPr>
        <w:tblStyle w:val="5"/>
        <w:tblW w:w="154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6"/>
        <w:gridCol w:w="3563"/>
        <w:gridCol w:w="3075"/>
        <w:gridCol w:w="3125"/>
        <w:gridCol w:w="3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tblHeader/>
          <w:jc w:val="center"/>
        </w:trPr>
        <w:tc>
          <w:tcPr>
            <w:tcW w:w="2686" w:type="dxa"/>
            <w:vMerge w:val="restart"/>
            <w:vAlign w:val="center"/>
          </w:tcPr>
          <w:p>
            <w:pPr>
              <w:overflowPunct w:val="0"/>
              <w:adjustRightInd/>
              <w:spacing w:line="240" w:lineRule="auto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  <w:t>行业、项目</w:t>
            </w:r>
          </w:p>
        </w:tc>
        <w:tc>
          <w:tcPr>
            <w:tcW w:w="6638" w:type="dxa"/>
            <w:gridSpan w:val="2"/>
            <w:vAlign w:val="center"/>
          </w:tcPr>
          <w:p>
            <w:pPr>
              <w:overflowPunct w:val="0"/>
              <w:adjustRightInd/>
              <w:spacing w:line="240" w:lineRule="auto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2"/>
                <w:szCs w:val="22"/>
              </w:rPr>
              <w:t>一区</w:t>
            </w:r>
          </w:p>
        </w:tc>
        <w:tc>
          <w:tcPr>
            <w:tcW w:w="6175" w:type="dxa"/>
            <w:gridSpan w:val="2"/>
            <w:vAlign w:val="center"/>
          </w:tcPr>
          <w:p>
            <w:pPr>
              <w:overflowPunct w:val="0"/>
              <w:adjustRightInd/>
              <w:spacing w:line="240" w:lineRule="auto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2"/>
                <w:szCs w:val="22"/>
              </w:rPr>
              <w:t>两群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2686" w:type="dxa"/>
            <w:vMerge w:val="continue"/>
            <w:vAlign w:val="center"/>
          </w:tcPr>
          <w:p>
            <w:pPr>
              <w:overflowPunct w:val="0"/>
              <w:adjustRightInd/>
              <w:spacing w:line="240" w:lineRule="auto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63" w:type="dxa"/>
            <w:vAlign w:val="center"/>
          </w:tcPr>
          <w:p>
            <w:pPr>
              <w:overflowPunct w:val="0"/>
              <w:adjustRightInd/>
              <w:spacing w:line="240" w:lineRule="auto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2"/>
                <w:szCs w:val="22"/>
              </w:rPr>
              <w:t>中心城区</w:t>
            </w:r>
          </w:p>
        </w:tc>
        <w:tc>
          <w:tcPr>
            <w:tcW w:w="3075" w:type="dxa"/>
          </w:tcPr>
          <w:p>
            <w:pPr>
              <w:overflowPunct w:val="0"/>
              <w:adjustRightInd/>
              <w:spacing w:line="240" w:lineRule="auto"/>
              <w:ind w:firstLine="648" w:firstLineChars="30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2"/>
                <w:szCs w:val="22"/>
              </w:rPr>
              <w:t>主城新区</w:t>
            </w:r>
          </w:p>
        </w:tc>
        <w:tc>
          <w:tcPr>
            <w:tcW w:w="3125" w:type="dxa"/>
            <w:vAlign w:val="center"/>
          </w:tcPr>
          <w:p>
            <w:pPr>
              <w:overflowPunct w:val="0"/>
              <w:adjustRightInd/>
              <w:spacing w:line="240" w:lineRule="auto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2"/>
                <w:szCs w:val="22"/>
              </w:rPr>
              <w:t>渝东北三峡库区城镇群</w:t>
            </w:r>
          </w:p>
        </w:tc>
        <w:tc>
          <w:tcPr>
            <w:tcW w:w="3050" w:type="dxa"/>
            <w:vAlign w:val="center"/>
          </w:tcPr>
          <w:p>
            <w:pPr>
              <w:overflowPunct w:val="0"/>
              <w:adjustRightInd/>
              <w:spacing w:line="240" w:lineRule="auto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2"/>
                <w:szCs w:val="22"/>
              </w:rPr>
              <w:t>渝东南武陵山区城镇群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2686" w:type="dxa"/>
            <w:vAlign w:val="center"/>
          </w:tcPr>
          <w:p>
            <w:pPr>
              <w:overflowPunct w:val="0"/>
              <w:adjustRightInd/>
              <w:spacing w:line="240" w:lineRule="auto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/>
                <w:bCs/>
                <w:color w:val="000000"/>
                <w:kern w:val="0"/>
                <w:sz w:val="22"/>
                <w:szCs w:val="22"/>
                <w:lang w:eastAsia="zh-CN"/>
              </w:rPr>
              <w:t>．</w:t>
            </w:r>
            <w:r>
              <w:rPr>
                <w:rFonts w:hint="eastAsia"/>
                <w:bCs/>
                <w:color w:val="000000"/>
                <w:kern w:val="0"/>
                <w:sz w:val="22"/>
                <w:szCs w:val="22"/>
              </w:rPr>
              <w:t>采砂</w:t>
            </w:r>
          </w:p>
        </w:tc>
        <w:tc>
          <w:tcPr>
            <w:tcW w:w="3563" w:type="dxa"/>
            <w:vAlign w:val="center"/>
          </w:tcPr>
          <w:p>
            <w:pPr>
              <w:overflowPunct w:val="0"/>
              <w:adjustRightInd/>
              <w:spacing w:line="240" w:lineRule="auto"/>
              <w:textAlignment w:val="baseline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color w:val="000000"/>
                <w:kern w:val="0"/>
                <w:sz w:val="22"/>
                <w:szCs w:val="22"/>
              </w:rPr>
              <w:t>渝中区、大渡口区</w:t>
            </w:r>
            <w:r>
              <w:rPr>
                <w:rFonts w:hint="eastAsia"/>
                <w:bCs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/>
                <w:bCs/>
                <w:color w:val="000000"/>
                <w:kern w:val="0"/>
                <w:sz w:val="22"/>
                <w:szCs w:val="22"/>
              </w:rPr>
              <w:t>江北区、沙坪坝区、九龙坡区、南岸区、北碚区、渝北区、巴南区外环绕城高速公路以内长江、嘉陵江水域不予准入</w:t>
            </w:r>
          </w:p>
        </w:tc>
        <w:tc>
          <w:tcPr>
            <w:tcW w:w="3075" w:type="dxa"/>
            <w:vAlign w:val="center"/>
          </w:tcPr>
          <w:p>
            <w:pPr>
              <w:overflowPunct w:val="0"/>
              <w:adjustRightInd/>
              <w:spacing w:line="240" w:lineRule="auto"/>
              <w:textAlignment w:val="baseline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color w:val="000000"/>
                <w:kern w:val="0"/>
                <w:sz w:val="22"/>
                <w:szCs w:val="22"/>
              </w:rPr>
              <w:t>江津区外环绕城高速公路以内长江、嘉陵江水域不予准入</w:t>
            </w:r>
          </w:p>
        </w:tc>
        <w:tc>
          <w:tcPr>
            <w:tcW w:w="3125" w:type="dxa"/>
            <w:vAlign w:val="center"/>
          </w:tcPr>
          <w:p>
            <w:pPr>
              <w:overflowPunct w:val="0"/>
              <w:adjustRightInd/>
              <w:spacing w:line="240" w:lineRule="auto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2"/>
                <w:szCs w:val="22"/>
                <w:highlight w:val="yellow"/>
                <w:lang w:val="en-US" w:eastAsia="zh-CN" w:bidi="ar-SA"/>
              </w:rPr>
            </w:pPr>
          </w:p>
        </w:tc>
        <w:tc>
          <w:tcPr>
            <w:tcW w:w="3050" w:type="dxa"/>
            <w:vAlign w:val="center"/>
          </w:tcPr>
          <w:p>
            <w:pPr>
              <w:overflowPunct w:val="0"/>
              <w:adjustRightInd/>
              <w:spacing w:line="240" w:lineRule="auto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2"/>
                <w:szCs w:val="22"/>
                <w:highlight w:val="yellow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2686" w:type="dxa"/>
            <w:vAlign w:val="center"/>
          </w:tcPr>
          <w:p>
            <w:pPr>
              <w:overflowPunct w:val="0"/>
              <w:adjustRightInd/>
              <w:spacing w:line="240" w:lineRule="auto"/>
              <w:jc w:val="left"/>
              <w:textAlignment w:val="baseline"/>
              <w:rPr>
                <w:rFonts w:hint="default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/>
                <w:bCs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．</w:t>
            </w:r>
            <w:r>
              <w:rPr>
                <w:rFonts w:hint="eastAsia"/>
                <w:bCs/>
                <w:color w:val="000000"/>
                <w:kern w:val="0"/>
                <w:sz w:val="22"/>
                <w:szCs w:val="22"/>
              </w:rPr>
              <w:t>开垦种植农作物</w:t>
            </w:r>
          </w:p>
        </w:tc>
        <w:tc>
          <w:tcPr>
            <w:tcW w:w="3563" w:type="dxa"/>
            <w:vAlign w:val="center"/>
          </w:tcPr>
          <w:p>
            <w:pPr>
              <w:overflowPunct w:val="0"/>
              <w:adjustRightInd/>
              <w:spacing w:line="240" w:lineRule="auto"/>
              <w:jc w:val="both"/>
              <w:textAlignment w:val="baseline"/>
              <w:rPr>
                <w:rFonts w:hint="default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Cs/>
                <w:color w:val="000000"/>
                <w:kern w:val="0"/>
                <w:sz w:val="22"/>
                <w:szCs w:val="22"/>
              </w:rPr>
              <w:t>二十五度以上陡坡地不予准入</w:t>
            </w:r>
          </w:p>
        </w:tc>
        <w:tc>
          <w:tcPr>
            <w:tcW w:w="3075" w:type="dxa"/>
            <w:vAlign w:val="center"/>
          </w:tcPr>
          <w:p>
            <w:pPr>
              <w:overflowPunct w:val="0"/>
              <w:adjustRightInd/>
              <w:spacing w:line="240" w:lineRule="auto"/>
              <w:jc w:val="both"/>
              <w:textAlignment w:val="baseline"/>
              <w:rPr>
                <w:rFonts w:hint="default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Cs/>
                <w:color w:val="000000"/>
                <w:kern w:val="0"/>
                <w:sz w:val="22"/>
                <w:szCs w:val="22"/>
              </w:rPr>
              <w:t>二十五度以上陡坡地不予准入</w:t>
            </w:r>
          </w:p>
        </w:tc>
        <w:tc>
          <w:tcPr>
            <w:tcW w:w="3125" w:type="dxa"/>
            <w:vAlign w:val="center"/>
          </w:tcPr>
          <w:p>
            <w:pPr>
              <w:overflowPunct w:val="0"/>
              <w:adjustRightInd/>
              <w:spacing w:line="240" w:lineRule="auto"/>
              <w:jc w:val="both"/>
              <w:textAlignment w:val="baseline"/>
              <w:rPr>
                <w:rFonts w:hint="default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Cs/>
                <w:color w:val="000000"/>
                <w:kern w:val="0"/>
                <w:sz w:val="22"/>
                <w:szCs w:val="22"/>
              </w:rPr>
              <w:t>二十五度以上陡坡地不予准入</w:t>
            </w:r>
          </w:p>
        </w:tc>
        <w:tc>
          <w:tcPr>
            <w:tcW w:w="3050" w:type="dxa"/>
            <w:vAlign w:val="center"/>
          </w:tcPr>
          <w:p>
            <w:pPr>
              <w:overflowPunct w:val="0"/>
              <w:adjustRightInd/>
              <w:spacing w:line="240" w:lineRule="auto"/>
              <w:jc w:val="both"/>
              <w:textAlignment w:val="baseline"/>
              <w:rPr>
                <w:rFonts w:hint="default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Cs/>
                <w:color w:val="000000"/>
                <w:kern w:val="0"/>
                <w:sz w:val="22"/>
                <w:szCs w:val="22"/>
              </w:rPr>
              <w:t>二十五度以上陡坡地不予准入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2686" w:type="dxa"/>
            <w:vAlign w:val="center"/>
          </w:tcPr>
          <w:p>
            <w:pPr>
              <w:overflowPunct w:val="0"/>
              <w:adjustRightInd/>
              <w:spacing w:line="240" w:lineRule="auto"/>
              <w:jc w:val="both"/>
              <w:textAlignment w:val="baseline"/>
              <w:rPr>
                <w:rFonts w:hint="default"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bCs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．</w:t>
            </w:r>
            <w:r>
              <w:rPr>
                <w:rFonts w:hint="eastAsia"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投资建设</w:t>
            </w:r>
            <w:r>
              <w:rPr>
                <w:rFonts w:hint="eastAsia"/>
                <w:bCs/>
                <w:color w:val="000000"/>
                <w:kern w:val="0"/>
                <w:sz w:val="22"/>
                <w:szCs w:val="22"/>
                <w:highlight w:val="none"/>
              </w:rPr>
              <w:t>旅游和生产经营项目</w:t>
            </w:r>
          </w:p>
        </w:tc>
        <w:tc>
          <w:tcPr>
            <w:tcW w:w="3563" w:type="dxa"/>
            <w:vAlign w:val="center"/>
          </w:tcPr>
          <w:p>
            <w:pPr>
              <w:overflowPunct/>
              <w:adjustRightInd/>
              <w:spacing w:line="240" w:lineRule="auto"/>
              <w:jc w:val="left"/>
              <w:textAlignment w:val="auto"/>
              <w:rPr>
                <w:rFonts w:hint="default"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bCs/>
                <w:color w:val="000000"/>
                <w:kern w:val="0"/>
                <w:sz w:val="22"/>
                <w:szCs w:val="22"/>
                <w:highlight w:val="none"/>
              </w:rPr>
              <w:t>自然保护区核心区、缓冲区的岸线和河段范围内不予准入（渝中区、江北区、南岸区除外）</w:t>
            </w:r>
          </w:p>
        </w:tc>
        <w:tc>
          <w:tcPr>
            <w:tcW w:w="3075" w:type="dxa"/>
            <w:vAlign w:val="center"/>
          </w:tcPr>
          <w:p>
            <w:pPr>
              <w:overflowPunct w:val="0"/>
              <w:adjustRightInd/>
              <w:spacing w:line="240" w:lineRule="auto"/>
              <w:jc w:val="both"/>
              <w:textAlignment w:val="baseline"/>
              <w:rPr>
                <w:rFonts w:hint="default"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bCs/>
                <w:color w:val="000000"/>
                <w:kern w:val="0"/>
                <w:sz w:val="22"/>
                <w:szCs w:val="22"/>
                <w:highlight w:val="none"/>
              </w:rPr>
              <w:t>自然保护区核心区、缓冲区的岸线和河段范围内不予准入（长寿区、合川区</w:t>
            </w:r>
            <w:r>
              <w:rPr>
                <w:rFonts w:hint="eastAsia"/>
                <w:bCs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大足区、</w:t>
            </w:r>
            <w:r>
              <w:rPr>
                <w:rFonts w:hint="eastAsia"/>
                <w:bCs/>
                <w:color w:val="000000"/>
                <w:kern w:val="0"/>
                <w:sz w:val="22"/>
                <w:szCs w:val="22"/>
                <w:highlight w:val="none"/>
              </w:rPr>
              <w:t>铜梁区、潼南区、荣昌区</w:t>
            </w:r>
            <w:r>
              <w:rPr>
                <w:rFonts w:hint="eastAsia"/>
                <w:bCs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万盛经开区</w:t>
            </w:r>
            <w:r>
              <w:rPr>
                <w:rFonts w:hint="eastAsia"/>
                <w:bCs/>
                <w:color w:val="000000"/>
                <w:kern w:val="0"/>
                <w:sz w:val="22"/>
                <w:szCs w:val="22"/>
                <w:highlight w:val="none"/>
              </w:rPr>
              <w:t>除外）</w:t>
            </w:r>
          </w:p>
        </w:tc>
        <w:tc>
          <w:tcPr>
            <w:tcW w:w="3125" w:type="dxa"/>
            <w:vAlign w:val="center"/>
          </w:tcPr>
          <w:p>
            <w:pPr>
              <w:overflowPunct w:val="0"/>
              <w:adjustRightInd/>
              <w:spacing w:line="240" w:lineRule="auto"/>
              <w:jc w:val="both"/>
              <w:textAlignment w:val="baseline"/>
              <w:rPr>
                <w:rFonts w:hint="default"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bCs/>
                <w:color w:val="000000"/>
                <w:kern w:val="0"/>
                <w:sz w:val="22"/>
                <w:szCs w:val="22"/>
                <w:highlight w:val="none"/>
              </w:rPr>
              <w:t>自然保护区核心区、缓冲区的岸线和河段范围内不予准入（梁平区、忠县、垫江县除外）</w:t>
            </w:r>
          </w:p>
        </w:tc>
        <w:tc>
          <w:tcPr>
            <w:tcW w:w="3050" w:type="dxa"/>
            <w:vAlign w:val="center"/>
          </w:tcPr>
          <w:p>
            <w:pPr>
              <w:overflowPunct w:val="0"/>
              <w:adjustRightInd/>
              <w:spacing w:line="240" w:lineRule="auto"/>
              <w:jc w:val="both"/>
              <w:textAlignment w:val="baseline"/>
              <w:rPr>
                <w:rFonts w:hint="default"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bCs/>
                <w:color w:val="000000"/>
                <w:kern w:val="0"/>
                <w:sz w:val="22"/>
                <w:szCs w:val="22"/>
                <w:highlight w:val="none"/>
              </w:rPr>
              <w:t>自然保护区核心区、缓冲区的岸线和河段范围内不予准入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2686" w:type="dxa"/>
            <w:vAlign w:val="center"/>
          </w:tcPr>
          <w:p>
            <w:pPr>
              <w:overflowPunct w:val="0"/>
              <w:adjustRightInd/>
              <w:spacing w:line="240" w:lineRule="auto"/>
              <w:jc w:val="both"/>
              <w:textAlignment w:val="baseline"/>
              <w:rPr>
                <w:rFonts w:hint="default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/>
                <w:bCs/>
                <w:color w:val="000000"/>
                <w:kern w:val="0"/>
                <w:sz w:val="22"/>
                <w:szCs w:val="22"/>
                <w:lang w:eastAsia="zh-CN"/>
              </w:rPr>
              <w:t>．</w:t>
            </w:r>
            <w:r>
              <w:rPr>
                <w:rFonts w:hint="eastAsia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新建、改建、扩建</w:t>
            </w:r>
            <w:r>
              <w:rPr>
                <w:rFonts w:hint="eastAsia"/>
                <w:bCs/>
                <w:color w:val="000000"/>
                <w:kern w:val="0"/>
                <w:sz w:val="22"/>
                <w:szCs w:val="22"/>
              </w:rPr>
              <w:t>与供水设施和保护水源无关的项目</w:t>
            </w:r>
            <w:r>
              <w:rPr>
                <w:rFonts w:hint="eastAsia"/>
                <w:bCs/>
                <w:color w:val="000000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/>
                <w:bCs/>
                <w:color w:val="000000"/>
                <w:kern w:val="0"/>
                <w:sz w:val="22"/>
                <w:szCs w:val="22"/>
              </w:rPr>
              <w:t>以及网箱养</w:t>
            </w:r>
            <w:r>
              <w:rPr>
                <w:rFonts w:hint="eastAsia"/>
                <w:bCs/>
                <w:color w:val="000000"/>
                <w:spacing w:val="-6"/>
                <w:kern w:val="0"/>
                <w:sz w:val="22"/>
                <w:szCs w:val="22"/>
              </w:rPr>
              <w:t>殖、</w:t>
            </w:r>
            <w:r>
              <w:rPr>
                <w:rFonts w:hint="eastAsia"/>
                <w:bCs/>
                <w:color w:val="000000"/>
                <w:spacing w:val="-6"/>
                <w:kern w:val="0"/>
                <w:sz w:val="22"/>
                <w:szCs w:val="22"/>
                <w:lang w:val="en-US" w:eastAsia="zh-CN"/>
              </w:rPr>
              <w:t>畜禽养殖、放养畜禽、旅游等可能污染饮用水水体的投资建设项目</w:t>
            </w:r>
          </w:p>
        </w:tc>
        <w:tc>
          <w:tcPr>
            <w:tcW w:w="3563" w:type="dxa"/>
            <w:vAlign w:val="center"/>
          </w:tcPr>
          <w:p>
            <w:pPr>
              <w:overflowPunct w:val="0"/>
              <w:adjustRightInd/>
              <w:spacing w:line="240" w:lineRule="auto"/>
              <w:jc w:val="both"/>
              <w:textAlignment w:val="baseline"/>
              <w:rPr>
                <w:rFonts w:hint="default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Cs/>
                <w:color w:val="000000"/>
                <w:kern w:val="0"/>
                <w:sz w:val="22"/>
                <w:szCs w:val="22"/>
              </w:rPr>
              <w:t>饮用水水源一级保护区的岸线和河段范围内不予准入</w:t>
            </w:r>
          </w:p>
        </w:tc>
        <w:tc>
          <w:tcPr>
            <w:tcW w:w="3075" w:type="dxa"/>
            <w:vAlign w:val="center"/>
          </w:tcPr>
          <w:p>
            <w:pPr>
              <w:overflowPunct w:val="0"/>
              <w:adjustRightInd/>
              <w:spacing w:line="240" w:lineRule="auto"/>
              <w:jc w:val="both"/>
              <w:textAlignment w:val="baseline"/>
              <w:rPr>
                <w:rFonts w:hint="default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Cs/>
                <w:color w:val="000000"/>
                <w:kern w:val="0"/>
                <w:sz w:val="22"/>
                <w:szCs w:val="22"/>
              </w:rPr>
              <w:t>饮用水水源一级保护区的岸线和河段范围内不予准入</w:t>
            </w:r>
          </w:p>
        </w:tc>
        <w:tc>
          <w:tcPr>
            <w:tcW w:w="3125" w:type="dxa"/>
            <w:vAlign w:val="center"/>
          </w:tcPr>
          <w:p>
            <w:pPr>
              <w:overflowPunct w:val="0"/>
              <w:adjustRightInd/>
              <w:spacing w:line="240" w:lineRule="auto"/>
              <w:jc w:val="both"/>
              <w:textAlignment w:val="baseline"/>
              <w:rPr>
                <w:rFonts w:hint="default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Cs/>
                <w:color w:val="000000"/>
                <w:kern w:val="0"/>
                <w:sz w:val="22"/>
                <w:szCs w:val="22"/>
              </w:rPr>
              <w:t>饮用水水源一级保护区的岸线和河段范围内不予准入</w:t>
            </w:r>
          </w:p>
        </w:tc>
        <w:tc>
          <w:tcPr>
            <w:tcW w:w="3050" w:type="dxa"/>
            <w:vAlign w:val="center"/>
          </w:tcPr>
          <w:p>
            <w:pPr>
              <w:overflowPunct w:val="0"/>
              <w:adjustRightInd/>
              <w:spacing w:line="240" w:lineRule="auto"/>
              <w:jc w:val="both"/>
              <w:textAlignment w:val="baseline"/>
              <w:rPr>
                <w:rFonts w:hint="default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Cs/>
                <w:color w:val="000000"/>
                <w:kern w:val="0"/>
                <w:sz w:val="22"/>
                <w:szCs w:val="22"/>
              </w:rPr>
              <w:t>饮用水水源一级保护区的岸线和河段范围内不予准入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2686" w:type="dxa"/>
            <w:vAlign w:val="center"/>
          </w:tcPr>
          <w:p>
            <w:pPr>
              <w:overflowPunct w:val="0"/>
              <w:adjustRightInd/>
              <w:spacing w:line="240" w:lineRule="auto"/>
              <w:jc w:val="both"/>
              <w:textAlignment w:val="baseline"/>
              <w:rPr>
                <w:rFonts w:hint="default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/>
                <w:bCs/>
                <w:color w:val="000000"/>
                <w:spacing w:val="-6"/>
                <w:kern w:val="0"/>
                <w:sz w:val="22"/>
                <w:szCs w:val="22"/>
                <w:lang w:eastAsia="zh-CN"/>
              </w:rPr>
              <w:t>．</w:t>
            </w:r>
            <w:r>
              <w:rPr>
                <w:rFonts w:hint="eastAsia"/>
                <w:bCs/>
                <w:color w:val="000000"/>
                <w:spacing w:val="-6"/>
                <w:kern w:val="0"/>
                <w:sz w:val="22"/>
                <w:szCs w:val="22"/>
                <w:lang w:val="en-US" w:eastAsia="zh-CN"/>
              </w:rPr>
              <w:t>新建、改建、扩建</w:t>
            </w:r>
            <w:r>
              <w:rPr>
                <w:rFonts w:hint="eastAsia"/>
                <w:bCs/>
                <w:color w:val="000000"/>
                <w:spacing w:val="-6"/>
                <w:kern w:val="0"/>
                <w:sz w:val="22"/>
                <w:szCs w:val="22"/>
              </w:rPr>
              <w:t>排放污染物的投资建设项目</w:t>
            </w:r>
          </w:p>
        </w:tc>
        <w:tc>
          <w:tcPr>
            <w:tcW w:w="3563" w:type="dxa"/>
            <w:vAlign w:val="center"/>
          </w:tcPr>
          <w:p>
            <w:pPr>
              <w:overflowPunct w:val="0"/>
              <w:adjustRightInd/>
              <w:spacing w:line="240" w:lineRule="auto"/>
              <w:jc w:val="both"/>
              <w:textAlignment w:val="baseline"/>
              <w:rPr>
                <w:rFonts w:hint="default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Cs/>
                <w:color w:val="000000"/>
                <w:kern w:val="0"/>
                <w:sz w:val="22"/>
                <w:szCs w:val="22"/>
              </w:rPr>
              <w:t>饮用水源二级保护区的岸线和河段范围不予准入</w:t>
            </w:r>
          </w:p>
        </w:tc>
        <w:tc>
          <w:tcPr>
            <w:tcW w:w="3075" w:type="dxa"/>
            <w:vAlign w:val="center"/>
          </w:tcPr>
          <w:p>
            <w:pPr>
              <w:overflowPunct w:val="0"/>
              <w:adjustRightInd/>
              <w:spacing w:line="240" w:lineRule="auto"/>
              <w:jc w:val="both"/>
              <w:textAlignment w:val="baseline"/>
              <w:rPr>
                <w:rFonts w:hint="default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Cs/>
                <w:color w:val="000000"/>
                <w:kern w:val="0"/>
                <w:sz w:val="22"/>
                <w:szCs w:val="22"/>
              </w:rPr>
              <w:t>饮用水源二级保护区的岸线和河段范围不予准入</w:t>
            </w:r>
          </w:p>
        </w:tc>
        <w:tc>
          <w:tcPr>
            <w:tcW w:w="3125" w:type="dxa"/>
            <w:vAlign w:val="center"/>
          </w:tcPr>
          <w:p>
            <w:pPr>
              <w:overflowPunct w:val="0"/>
              <w:adjustRightInd/>
              <w:spacing w:line="240" w:lineRule="auto"/>
              <w:jc w:val="both"/>
              <w:textAlignment w:val="baseline"/>
              <w:rPr>
                <w:rFonts w:hint="default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Cs/>
                <w:color w:val="000000"/>
                <w:kern w:val="0"/>
                <w:sz w:val="22"/>
                <w:szCs w:val="22"/>
              </w:rPr>
              <w:t>饮用水源二级保护区的岸线和河段范围不予准入</w:t>
            </w:r>
          </w:p>
        </w:tc>
        <w:tc>
          <w:tcPr>
            <w:tcW w:w="3050" w:type="dxa"/>
            <w:vAlign w:val="center"/>
          </w:tcPr>
          <w:p>
            <w:pPr>
              <w:overflowPunct w:val="0"/>
              <w:adjustRightInd/>
              <w:spacing w:line="240" w:lineRule="auto"/>
              <w:jc w:val="both"/>
              <w:textAlignment w:val="baseline"/>
              <w:rPr>
                <w:rFonts w:hint="default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Cs/>
                <w:color w:val="000000"/>
                <w:kern w:val="0"/>
                <w:sz w:val="22"/>
                <w:szCs w:val="22"/>
              </w:rPr>
              <w:t>饮用水源二级保护区的岸线和河段范围不予准入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2686" w:type="dxa"/>
            <w:vAlign w:val="center"/>
          </w:tcPr>
          <w:p>
            <w:pPr>
              <w:overflowPunct w:val="0"/>
              <w:adjustRightInd/>
              <w:spacing w:line="240" w:lineRule="auto"/>
              <w:jc w:val="both"/>
              <w:textAlignment w:val="baseline"/>
              <w:rPr>
                <w:rFonts w:hint="default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/>
                <w:bCs/>
                <w:color w:val="000000"/>
                <w:kern w:val="0"/>
                <w:sz w:val="22"/>
                <w:szCs w:val="22"/>
                <w:lang w:eastAsia="zh-CN"/>
              </w:rPr>
              <w:t>．</w:t>
            </w:r>
            <w:r>
              <w:rPr>
                <w:rFonts w:hint="eastAsia"/>
                <w:bCs/>
                <w:color w:val="000000"/>
                <w:kern w:val="0"/>
                <w:sz w:val="22"/>
                <w:szCs w:val="22"/>
              </w:rPr>
              <w:t>新建、改建、扩建尾矿库、冶炼渣库和磷石膏库（以提升安全、生态环境保护水平为目的的改建除外）</w:t>
            </w:r>
          </w:p>
        </w:tc>
        <w:tc>
          <w:tcPr>
            <w:tcW w:w="3563" w:type="dxa"/>
            <w:vAlign w:val="center"/>
          </w:tcPr>
          <w:p>
            <w:pPr>
              <w:overflowPunct w:val="0"/>
              <w:adjustRightInd/>
              <w:spacing w:line="240" w:lineRule="auto"/>
              <w:jc w:val="both"/>
              <w:textAlignment w:val="baseline"/>
              <w:rPr>
                <w:rFonts w:hint="default"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bCs/>
                <w:color w:val="000000"/>
                <w:kern w:val="0"/>
                <w:sz w:val="22"/>
                <w:szCs w:val="22"/>
                <w:highlight w:val="none"/>
              </w:rPr>
              <w:t>长江干流岸线</w:t>
            </w: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2"/>
                <w:szCs w:val="22"/>
                <w:highlight w:val="none"/>
              </w:rPr>
              <w:t>3</w:t>
            </w:r>
            <w:r>
              <w:rPr>
                <w:rFonts w:hint="default"/>
                <w:bCs/>
                <w:color w:val="000000"/>
                <w:kern w:val="0"/>
                <w:sz w:val="22"/>
                <w:szCs w:val="22"/>
                <w:highlight w:val="none"/>
              </w:rPr>
              <w:t>公里范围内和重要支流岸线</w:t>
            </w: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2"/>
                <w:szCs w:val="22"/>
                <w:highlight w:val="none"/>
              </w:rPr>
              <w:t>1</w:t>
            </w:r>
            <w:r>
              <w:rPr>
                <w:rFonts w:hint="default"/>
                <w:bCs/>
                <w:color w:val="000000"/>
                <w:kern w:val="0"/>
                <w:sz w:val="22"/>
                <w:szCs w:val="22"/>
                <w:highlight w:val="none"/>
              </w:rPr>
              <w:t>公里范围内</w:t>
            </w:r>
            <w:r>
              <w:rPr>
                <w:rFonts w:hint="eastAsia"/>
                <w:bCs/>
                <w:color w:val="000000"/>
                <w:kern w:val="0"/>
                <w:sz w:val="22"/>
                <w:szCs w:val="22"/>
                <w:highlight w:val="none"/>
              </w:rPr>
              <w:t>不予准入</w:t>
            </w:r>
          </w:p>
        </w:tc>
        <w:tc>
          <w:tcPr>
            <w:tcW w:w="3075" w:type="dxa"/>
            <w:vAlign w:val="center"/>
          </w:tcPr>
          <w:p>
            <w:pPr>
              <w:overflowPunct w:val="0"/>
              <w:adjustRightInd/>
              <w:spacing w:line="240" w:lineRule="auto"/>
              <w:jc w:val="both"/>
              <w:textAlignment w:val="baseline"/>
              <w:rPr>
                <w:rFonts w:hint="default"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bCs/>
                <w:color w:val="000000"/>
                <w:kern w:val="0"/>
                <w:sz w:val="22"/>
                <w:szCs w:val="22"/>
                <w:highlight w:val="none"/>
              </w:rPr>
              <w:t>长江干流岸线</w:t>
            </w: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2"/>
                <w:szCs w:val="22"/>
                <w:highlight w:val="none"/>
              </w:rPr>
              <w:t>3</w:t>
            </w:r>
            <w:r>
              <w:rPr>
                <w:rFonts w:hint="default"/>
                <w:bCs/>
                <w:color w:val="000000"/>
                <w:kern w:val="0"/>
                <w:sz w:val="22"/>
                <w:szCs w:val="22"/>
                <w:highlight w:val="none"/>
              </w:rPr>
              <w:t>公里范围内和重要支流岸线</w:t>
            </w: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2"/>
                <w:szCs w:val="22"/>
                <w:highlight w:val="none"/>
              </w:rPr>
              <w:t>1</w:t>
            </w:r>
            <w:r>
              <w:rPr>
                <w:rFonts w:hint="default"/>
                <w:bCs/>
                <w:color w:val="000000"/>
                <w:kern w:val="0"/>
                <w:sz w:val="22"/>
                <w:szCs w:val="22"/>
                <w:highlight w:val="none"/>
              </w:rPr>
              <w:t>公里范围内</w:t>
            </w:r>
            <w:r>
              <w:rPr>
                <w:rFonts w:hint="eastAsia"/>
                <w:bCs/>
                <w:color w:val="000000"/>
                <w:kern w:val="0"/>
                <w:sz w:val="22"/>
                <w:szCs w:val="22"/>
                <w:highlight w:val="none"/>
              </w:rPr>
              <w:t>不予准入</w:t>
            </w:r>
          </w:p>
        </w:tc>
        <w:tc>
          <w:tcPr>
            <w:tcW w:w="3125" w:type="dxa"/>
            <w:vAlign w:val="center"/>
          </w:tcPr>
          <w:p>
            <w:pPr>
              <w:overflowPunct w:val="0"/>
              <w:adjustRightInd/>
              <w:spacing w:line="240" w:lineRule="auto"/>
              <w:jc w:val="both"/>
              <w:textAlignment w:val="baseline"/>
              <w:rPr>
                <w:rFonts w:hint="default"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bCs/>
                <w:color w:val="000000"/>
                <w:kern w:val="0"/>
                <w:sz w:val="22"/>
                <w:szCs w:val="22"/>
                <w:highlight w:val="none"/>
              </w:rPr>
              <w:t>长江干流岸线</w:t>
            </w: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2"/>
                <w:szCs w:val="22"/>
                <w:highlight w:val="none"/>
              </w:rPr>
              <w:t>3</w:t>
            </w:r>
            <w:r>
              <w:rPr>
                <w:rFonts w:hint="default"/>
                <w:bCs/>
                <w:color w:val="000000"/>
                <w:kern w:val="0"/>
                <w:sz w:val="22"/>
                <w:szCs w:val="22"/>
                <w:highlight w:val="none"/>
              </w:rPr>
              <w:t>公里范围内和重要支流岸线</w:t>
            </w: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2"/>
                <w:szCs w:val="22"/>
                <w:highlight w:val="none"/>
              </w:rPr>
              <w:t>1</w:t>
            </w:r>
            <w:r>
              <w:rPr>
                <w:rFonts w:hint="default"/>
                <w:bCs/>
                <w:color w:val="000000"/>
                <w:kern w:val="0"/>
                <w:sz w:val="22"/>
                <w:szCs w:val="22"/>
                <w:highlight w:val="none"/>
              </w:rPr>
              <w:t>公里范围内</w:t>
            </w:r>
            <w:r>
              <w:rPr>
                <w:rFonts w:hint="eastAsia"/>
                <w:bCs/>
                <w:color w:val="000000"/>
                <w:kern w:val="0"/>
                <w:sz w:val="22"/>
                <w:szCs w:val="22"/>
                <w:highlight w:val="none"/>
              </w:rPr>
              <w:t>不予准入</w:t>
            </w:r>
          </w:p>
        </w:tc>
        <w:tc>
          <w:tcPr>
            <w:tcW w:w="3050" w:type="dxa"/>
            <w:vAlign w:val="center"/>
          </w:tcPr>
          <w:p>
            <w:pPr>
              <w:overflowPunct w:val="0"/>
              <w:adjustRightInd/>
              <w:spacing w:line="240" w:lineRule="auto"/>
              <w:jc w:val="both"/>
              <w:textAlignment w:val="baseline"/>
              <w:rPr>
                <w:rFonts w:hint="default"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bCs/>
                <w:color w:val="000000"/>
                <w:kern w:val="0"/>
                <w:sz w:val="22"/>
                <w:szCs w:val="22"/>
                <w:highlight w:val="none"/>
              </w:rPr>
              <w:t>长江干流岸线</w:t>
            </w: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2"/>
                <w:szCs w:val="22"/>
                <w:highlight w:val="none"/>
              </w:rPr>
              <w:t>3</w:t>
            </w:r>
            <w:r>
              <w:rPr>
                <w:rFonts w:hint="default"/>
                <w:bCs/>
                <w:color w:val="000000"/>
                <w:kern w:val="0"/>
                <w:sz w:val="22"/>
                <w:szCs w:val="22"/>
                <w:highlight w:val="none"/>
              </w:rPr>
              <w:t>公里范围内和重要支流岸线</w:t>
            </w: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2"/>
                <w:szCs w:val="22"/>
                <w:highlight w:val="none"/>
              </w:rPr>
              <w:t>1</w:t>
            </w:r>
            <w:r>
              <w:rPr>
                <w:rFonts w:hint="default"/>
                <w:bCs/>
                <w:color w:val="000000"/>
                <w:kern w:val="0"/>
                <w:sz w:val="22"/>
                <w:szCs w:val="22"/>
                <w:highlight w:val="none"/>
              </w:rPr>
              <w:t>公里范围内</w:t>
            </w:r>
            <w:r>
              <w:rPr>
                <w:rFonts w:hint="eastAsia"/>
                <w:bCs/>
                <w:color w:val="000000"/>
                <w:kern w:val="0"/>
                <w:sz w:val="22"/>
                <w:szCs w:val="22"/>
                <w:highlight w:val="none"/>
              </w:rPr>
              <w:t>不予准入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  <w:jc w:val="center"/>
        </w:trPr>
        <w:tc>
          <w:tcPr>
            <w:tcW w:w="2686" w:type="dxa"/>
            <w:vAlign w:val="center"/>
          </w:tcPr>
          <w:p>
            <w:pPr>
              <w:overflowPunct w:val="0"/>
              <w:adjustRightInd/>
              <w:spacing w:line="240" w:lineRule="auto"/>
              <w:jc w:val="both"/>
              <w:textAlignment w:val="baseline"/>
              <w:rPr>
                <w:rFonts w:hint="default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/>
                <w:bCs/>
                <w:color w:val="000000"/>
                <w:kern w:val="0"/>
                <w:sz w:val="22"/>
                <w:szCs w:val="22"/>
                <w:lang w:eastAsia="zh-CN"/>
              </w:rPr>
              <w:t>．</w:t>
            </w:r>
            <w:r>
              <w:rPr>
                <w:rFonts w:hint="default"/>
                <w:bCs/>
                <w:color w:val="000000"/>
                <w:kern w:val="0"/>
                <w:sz w:val="22"/>
                <w:szCs w:val="22"/>
              </w:rPr>
              <w:t>投资建设与风景名胜资源保护无关的项目</w:t>
            </w:r>
          </w:p>
        </w:tc>
        <w:tc>
          <w:tcPr>
            <w:tcW w:w="3563" w:type="dxa"/>
            <w:vAlign w:val="center"/>
          </w:tcPr>
          <w:p>
            <w:pPr>
              <w:overflowPunct w:val="0"/>
              <w:adjustRightInd/>
              <w:spacing w:line="240" w:lineRule="auto"/>
              <w:textAlignment w:val="baseline"/>
              <w:rPr>
                <w:rFonts w:hint="default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Cs/>
                <w:color w:val="000000"/>
                <w:kern w:val="0"/>
                <w:sz w:val="22"/>
                <w:szCs w:val="22"/>
                <w:highlight w:val="none"/>
              </w:rPr>
              <w:t>风景名胜区核心景区的岸线和河段范围内不予准入（渝中区、大渡口区、江北区、九龙坡区除外）</w:t>
            </w:r>
          </w:p>
        </w:tc>
        <w:tc>
          <w:tcPr>
            <w:tcW w:w="3075" w:type="dxa"/>
            <w:vAlign w:val="center"/>
          </w:tcPr>
          <w:p>
            <w:pPr>
              <w:overflowPunct w:val="0"/>
              <w:adjustRightInd/>
              <w:spacing w:line="240" w:lineRule="auto"/>
              <w:textAlignment w:val="baseline"/>
              <w:rPr>
                <w:rFonts w:hint="default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Cs/>
                <w:color w:val="000000"/>
                <w:kern w:val="0"/>
                <w:sz w:val="22"/>
                <w:szCs w:val="22"/>
              </w:rPr>
              <w:t>风景名胜区核心景区的岸线和河段范围内不予准入予准入（永川区、荣昌区除外）</w:t>
            </w:r>
          </w:p>
        </w:tc>
        <w:tc>
          <w:tcPr>
            <w:tcW w:w="3125" w:type="dxa"/>
            <w:vAlign w:val="center"/>
          </w:tcPr>
          <w:p>
            <w:pPr>
              <w:overflowPunct w:val="0"/>
              <w:adjustRightInd/>
              <w:spacing w:line="240" w:lineRule="auto"/>
              <w:textAlignment w:val="baseline"/>
              <w:rPr>
                <w:rFonts w:hint="default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Cs/>
                <w:color w:val="000000"/>
                <w:kern w:val="0"/>
                <w:sz w:val="22"/>
                <w:szCs w:val="22"/>
              </w:rPr>
              <w:t>风景名胜区核心景区的岸线和河段范围内不予准入（开州区除外）</w:t>
            </w:r>
          </w:p>
        </w:tc>
        <w:tc>
          <w:tcPr>
            <w:tcW w:w="3050" w:type="dxa"/>
            <w:vAlign w:val="center"/>
          </w:tcPr>
          <w:p>
            <w:pPr>
              <w:overflowPunct w:val="0"/>
              <w:adjustRightInd/>
              <w:spacing w:line="240" w:lineRule="auto"/>
              <w:textAlignment w:val="baseline"/>
              <w:rPr>
                <w:rFonts w:hint="default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Cs/>
                <w:color w:val="000000"/>
                <w:kern w:val="0"/>
                <w:sz w:val="22"/>
                <w:szCs w:val="22"/>
              </w:rPr>
              <w:t>风景名胜区核心景区的岸线和河段范围内不予准入（彭水县除外）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  <w:jc w:val="center"/>
        </w:trPr>
        <w:tc>
          <w:tcPr>
            <w:tcW w:w="2686" w:type="dxa"/>
            <w:vAlign w:val="center"/>
          </w:tcPr>
          <w:p>
            <w:pPr>
              <w:overflowPunct w:val="0"/>
              <w:adjustRightInd/>
              <w:spacing w:line="240" w:lineRule="auto"/>
              <w:jc w:val="both"/>
              <w:textAlignment w:val="baseline"/>
              <w:rPr>
                <w:rFonts w:hint="default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/>
                <w:bCs/>
                <w:color w:val="000000"/>
                <w:kern w:val="0"/>
                <w:sz w:val="22"/>
                <w:szCs w:val="22"/>
                <w:lang w:eastAsia="zh-CN"/>
              </w:rPr>
              <w:t>．</w:t>
            </w:r>
            <w:r>
              <w:rPr>
                <w:rFonts w:hint="eastAsia"/>
                <w:bCs/>
                <w:color w:val="000000"/>
                <w:kern w:val="0"/>
                <w:sz w:val="22"/>
                <w:szCs w:val="22"/>
              </w:rPr>
              <w:t>挖沙、采矿，以及任何不符合主体功能定位的投资建设项目</w:t>
            </w:r>
          </w:p>
        </w:tc>
        <w:tc>
          <w:tcPr>
            <w:tcW w:w="3563" w:type="dxa"/>
            <w:vAlign w:val="center"/>
          </w:tcPr>
          <w:p>
            <w:pPr>
              <w:overflowPunct w:val="0"/>
              <w:adjustRightInd/>
              <w:spacing w:line="240" w:lineRule="auto"/>
              <w:textAlignment w:val="baseline"/>
              <w:rPr>
                <w:rFonts w:hint="default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Cs/>
                <w:color w:val="000000"/>
                <w:kern w:val="0"/>
                <w:sz w:val="22"/>
                <w:szCs w:val="22"/>
              </w:rPr>
              <w:t>国家湿地公园的岸线和河段范围内不予准入（渝中区、大渡口区、江北区、沙坪坝区、北碚区、渝北区、巴南区除外）</w:t>
            </w:r>
          </w:p>
        </w:tc>
        <w:tc>
          <w:tcPr>
            <w:tcW w:w="3075" w:type="dxa"/>
            <w:vAlign w:val="center"/>
          </w:tcPr>
          <w:p>
            <w:pPr>
              <w:overflowPunct w:val="0"/>
              <w:adjustRightInd/>
              <w:spacing w:line="240" w:lineRule="auto"/>
              <w:textAlignment w:val="baseline"/>
              <w:rPr>
                <w:rFonts w:hint="default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Cs/>
                <w:color w:val="000000"/>
                <w:kern w:val="0"/>
                <w:sz w:val="22"/>
                <w:szCs w:val="22"/>
              </w:rPr>
              <w:t>国家湿地公园的岸线和河段范围内不予准入（涪陵区、长寿区、江津区、永川区、大足区除外）</w:t>
            </w:r>
          </w:p>
        </w:tc>
        <w:tc>
          <w:tcPr>
            <w:tcW w:w="3125" w:type="dxa"/>
            <w:vAlign w:val="center"/>
          </w:tcPr>
          <w:p>
            <w:pPr>
              <w:overflowPunct w:val="0"/>
              <w:adjustRightInd/>
              <w:spacing w:line="240" w:lineRule="auto"/>
              <w:textAlignment w:val="baseline"/>
              <w:rPr>
                <w:rFonts w:hint="default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Cs/>
                <w:color w:val="000000"/>
                <w:kern w:val="0"/>
                <w:sz w:val="22"/>
                <w:szCs w:val="22"/>
              </w:rPr>
              <w:t>国家湿地公园的岸线和河段范围内不予准入（万州区、云阳县、奉节县、巫溪县除外）</w:t>
            </w:r>
          </w:p>
        </w:tc>
        <w:tc>
          <w:tcPr>
            <w:tcW w:w="3050" w:type="dxa"/>
            <w:vAlign w:val="center"/>
          </w:tcPr>
          <w:p>
            <w:pPr>
              <w:overflowPunct w:val="0"/>
              <w:adjustRightInd/>
              <w:spacing w:line="240" w:lineRule="auto"/>
              <w:textAlignment w:val="baseline"/>
              <w:rPr>
                <w:rFonts w:hint="default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Cs/>
                <w:color w:val="000000"/>
                <w:kern w:val="0"/>
                <w:sz w:val="22"/>
                <w:szCs w:val="22"/>
              </w:rPr>
              <w:t>国家湿地公园的岸线和河段范围内不予准入（彭水县除外）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2686" w:type="dxa"/>
            <w:vAlign w:val="center"/>
          </w:tcPr>
          <w:p>
            <w:pPr>
              <w:overflowPunct w:val="0"/>
              <w:adjustRightInd/>
              <w:spacing w:line="240" w:lineRule="auto"/>
              <w:jc w:val="both"/>
              <w:textAlignment w:val="baseline"/>
              <w:rPr>
                <w:rFonts w:hint="default"/>
                <w:bCs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/>
                <w:bCs/>
                <w:color w:val="000000"/>
                <w:kern w:val="0"/>
                <w:sz w:val="22"/>
                <w:szCs w:val="22"/>
                <w:lang w:eastAsia="zh-CN"/>
              </w:rPr>
              <w:t>．</w:t>
            </w:r>
            <w:r>
              <w:rPr>
                <w:rFonts w:hint="eastAsia"/>
                <w:bCs/>
                <w:color w:val="000000"/>
                <w:kern w:val="0"/>
                <w:sz w:val="22"/>
                <w:szCs w:val="22"/>
              </w:rPr>
              <w:t>投资建设除事关公共安全及公众利益的防洪护岸、河道治理、供水、生态环境保护、航道整治、国家重要基础设施以外的项目</w:t>
            </w:r>
          </w:p>
        </w:tc>
        <w:tc>
          <w:tcPr>
            <w:tcW w:w="3563" w:type="dxa"/>
            <w:vAlign w:val="center"/>
          </w:tcPr>
          <w:p>
            <w:pPr>
              <w:overflowPunct w:val="0"/>
              <w:adjustRightInd/>
              <w:spacing w:line="240" w:lineRule="auto"/>
              <w:textAlignment w:val="baseline"/>
              <w:rPr>
                <w:rFonts w:hint="default"/>
                <w:bCs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kern w:val="0"/>
                <w:sz w:val="22"/>
                <w:szCs w:val="22"/>
              </w:rPr>
              <w:t>《</w:t>
            </w:r>
            <w:r>
              <w:rPr>
                <w:rFonts w:hint="eastAsia"/>
                <w:bCs/>
                <w:color w:val="000000"/>
                <w:kern w:val="0"/>
                <w:sz w:val="22"/>
                <w:szCs w:val="22"/>
              </w:rPr>
              <w:t>长江岸线保护和开发利用总体规划》划定的岸线保护区和保留区内不予准入</w:t>
            </w:r>
          </w:p>
        </w:tc>
        <w:tc>
          <w:tcPr>
            <w:tcW w:w="3075" w:type="dxa"/>
            <w:vAlign w:val="center"/>
          </w:tcPr>
          <w:p>
            <w:pPr>
              <w:overflowPunct w:val="0"/>
              <w:adjustRightInd/>
              <w:spacing w:line="240" w:lineRule="auto"/>
              <w:textAlignment w:val="baseline"/>
              <w:rPr>
                <w:rFonts w:hint="default"/>
                <w:bCs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kern w:val="0"/>
                <w:sz w:val="22"/>
                <w:szCs w:val="22"/>
              </w:rPr>
              <w:t>《</w:t>
            </w:r>
            <w:r>
              <w:rPr>
                <w:rFonts w:hint="eastAsia"/>
                <w:bCs/>
                <w:color w:val="000000"/>
                <w:kern w:val="0"/>
                <w:sz w:val="22"/>
                <w:szCs w:val="22"/>
              </w:rPr>
              <w:t>长江岸线保护和开发利用总体规划》划定的岸线保护区和保留区内不予准入</w:t>
            </w:r>
          </w:p>
        </w:tc>
        <w:tc>
          <w:tcPr>
            <w:tcW w:w="3125" w:type="dxa"/>
            <w:vAlign w:val="center"/>
          </w:tcPr>
          <w:p>
            <w:pPr>
              <w:overflowPunct w:val="0"/>
              <w:adjustRightInd/>
              <w:spacing w:line="240" w:lineRule="auto"/>
              <w:textAlignment w:val="baseline"/>
              <w:rPr>
                <w:rFonts w:hint="default"/>
                <w:bCs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kern w:val="0"/>
                <w:sz w:val="22"/>
                <w:szCs w:val="22"/>
              </w:rPr>
              <w:t>《</w:t>
            </w:r>
            <w:r>
              <w:rPr>
                <w:rFonts w:hint="eastAsia"/>
                <w:bCs/>
                <w:color w:val="000000"/>
                <w:kern w:val="0"/>
                <w:sz w:val="22"/>
                <w:szCs w:val="22"/>
              </w:rPr>
              <w:t>长江岸线保护和开发利用总体规划》划定的岸线保护区和保留区内不予准入</w:t>
            </w:r>
          </w:p>
        </w:tc>
        <w:tc>
          <w:tcPr>
            <w:tcW w:w="3050" w:type="dxa"/>
            <w:vAlign w:val="center"/>
          </w:tcPr>
          <w:p>
            <w:pPr>
              <w:overflowPunct w:val="0"/>
              <w:adjustRightInd/>
              <w:spacing w:line="240" w:lineRule="auto"/>
              <w:textAlignment w:val="baseline"/>
              <w:rPr>
                <w:rFonts w:hint="default"/>
                <w:bCs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kern w:val="0"/>
                <w:sz w:val="22"/>
                <w:szCs w:val="22"/>
              </w:rPr>
              <w:t>《</w:t>
            </w:r>
            <w:r>
              <w:rPr>
                <w:rFonts w:hint="eastAsia"/>
                <w:bCs/>
                <w:color w:val="000000"/>
                <w:kern w:val="0"/>
                <w:sz w:val="22"/>
                <w:szCs w:val="22"/>
              </w:rPr>
              <w:t>长江岸线保护和开发利用总体规划》划定的岸线保护区和保留区内不予准入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  <w:jc w:val="center"/>
        </w:trPr>
        <w:tc>
          <w:tcPr>
            <w:tcW w:w="2686" w:type="dxa"/>
            <w:vAlign w:val="center"/>
          </w:tcPr>
          <w:p>
            <w:pPr>
              <w:overflowPunct w:val="0"/>
              <w:adjustRightInd/>
              <w:spacing w:line="240" w:lineRule="auto"/>
              <w:jc w:val="both"/>
              <w:textAlignment w:val="baseline"/>
              <w:rPr>
                <w:rFonts w:hint="default"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2"/>
                <w:szCs w:val="22"/>
                <w:highlight w:val="none"/>
              </w:rPr>
              <w:t>1</w:t>
            </w: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0</w:t>
            </w:r>
            <w:r>
              <w:rPr>
                <w:rFonts w:hint="eastAsia"/>
                <w:bCs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．</w:t>
            </w:r>
            <w:r>
              <w:rPr>
                <w:rFonts w:hint="eastAsia"/>
                <w:bCs/>
                <w:color w:val="000000"/>
                <w:kern w:val="0"/>
                <w:sz w:val="22"/>
                <w:szCs w:val="22"/>
                <w:highlight w:val="none"/>
              </w:rPr>
              <w:t>投资建设不利于水资源及自然生态保护的项目</w:t>
            </w:r>
          </w:p>
        </w:tc>
        <w:tc>
          <w:tcPr>
            <w:tcW w:w="3563" w:type="dxa"/>
            <w:vAlign w:val="center"/>
          </w:tcPr>
          <w:p>
            <w:pPr>
              <w:overflowPunct w:val="0"/>
              <w:adjustRightInd/>
              <w:spacing w:line="240" w:lineRule="auto"/>
              <w:textAlignment w:val="baseline"/>
              <w:rPr>
                <w:rFonts w:hint="default"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bCs/>
                <w:color w:val="000000"/>
                <w:kern w:val="0"/>
                <w:sz w:val="22"/>
                <w:szCs w:val="22"/>
                <w:highlight w:val="none"/>
              </w:rPr>
              <w:t>渝北</w:t>
            </w:r>
            <w:r>
              <w:rPr>
                <w:rFonts w:hint="eastAsia"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区</w:t>
            </w:r>
            <w:r>
              <w:rPr>
                <w:rFonts w:hint="eastAsia"/>
                <w:bCs/>
                <w:color w:val="000000"/>
                <w:kern w:val="0"/>
                <w:sz w:val="22"/>
                <w:szCs w:val="22"/>
                <w:highlight w:val="none"/>
              </w:rPr>
              <w:t>《全国重要江河湖泊水功能区划》划定的河段及湖泊保护区、保留区内不予准入</w:t>
            </w:r>
          </w:p>
        </w:tc>
        <w:tc>
          <w:tcPr>
            <w:tcW w:w="3075" w:type="dxa"/>
            <w:vAlign w:val="center"/>
          </w:tcPr>
          <w:p>
            <w:pPr>
              <w:overflowPunct w:val="0"/>
              <w:adjustRightInd/>
              <w:spacing w:line="240" w:lineRule="auto"/>
              <w:textAlignment w:val="baseline"/>
              <w:rPr>
                <w:rFonts w:hint="default"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bCs/>
                <w:color w:val="000000"/>
                <w:kern w:val="0"/>
                <w:sz w:val="22"/>
                <w:szCs w:val="22"/>
                <w:highlight w:val="none"/>
              </w:rPr>
              <w:t>《全国重要江河湖泊水功能区划》划定的河段及湖泊保护区、保留区内不予准入（永川区、璧山区、铜梁区</w:t>
            </w:r>
            <w:r>
              <w:rPr>
                <w:rFonts w:hint="eastAsia"/>
                <w:bCs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万盛经开区</w:t>
            </w:r>
            <w:r>
              <w:rPr>
                <w:rFonts w:hint="eastAsia"/>
                <w:bCs/>
                <w:color w:val="000000"/>
                <w:kern w:val="0"/>
                <w:sz w:val="22"/>
                <w:szCs w:val="22"/>
                <w:highlight w:val="none"/>
              </w:rPr>
              <w:t>除外）</w:t>
            </w:r>
          </w:p>
        </w:tc>
        <w:tc>
          <w:tcPr>
            <w:tcW w:w="3125" w:type="dxa"/>
            <w:vAlign w:val="center"/>
          </w:tcPr>
          <w:p>
            <w:pPr>
              <w:overflowPunct w:val="0"/>
              <w:adjustRightInd/>
              <w:spacing w:line="240" w:lineRule="auto"/>
              <w:textAlignment w:val="baseline"/>
              <w:rPr>
                <w:rFonts w:hint="default"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bCs/>
                <w:color w:val="000000"/>
                <w:kern w:val="0"/>
                <w:sz w:val="22"/>
                <w:szCs w:val="22"/>
                <w:highlight w:val="none"/>
              </w:rPr>
              <w:t>《全国重要江河湖泊水功能区划》划定的河段及湖泊保护区、保留区内不予准入（梁平区、垫江县除外）</w:t>
            </w:r>
          </w:p>
        </w:tc>
        <w:tc>
          <w:tcPr>
            <w:tcW w:w="3050" w:type="dxa"/>
            <w:vAlign w:val="center"/>
          </w:tcPr>
          <w:p>
            <w:pPr>
              <w:overflowPunct w:val="0"/>
              <w:adjustRightInd/>
              <w:spacing w:line="240" w:lineRule="auto"/>
              <w:textAlignment w:val="baseline"/>
              <w:rPr>
                <w:rFonts w:hint="default"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bCs/>
                <w:color w:val="000000"/>
                <w:kern w:val="0"/>
                <w:sz w:val="22"/>
                <w:szCs w:val="22"/>
                <w:highlight w:val="none"/>
              </w:rPr>
              <w:t>《全国重要江河湖泊水功能区划》划定的河段及湖泊保护区、保留区内不予准入（秀山县除外）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2686" w:type="dxa"/>
            <w:vAlign w:val="center"/>
          </w:tcPr>
          <w:p>
            <w:pPr>
              <w:overflowPunct w:val="0"/>
              <w:adjustRightInd/>
              <w:spacing w:line="240" w:lineRule="auto"/>
              <w:jc w:val="both"/>
              <w:textAlignment w:val="baseline"/>
              <w:rPr>
                <w:rFonts w:hint="default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/>
                <w:bCs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．</w:t>
            </w:r>
            <w:r>
              <w:rPr>
                <w:rFonts w:hint="eastAsia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新建、扩建</w:t>
            </w:r>
            <w:r>
              <w:rPr>
                <w:rFonts w:hint="default"/>
                <w:bCs/>
                <w:color w:val="000000"/>
                <w:kern w:val="0"/>
                <w:sz w:val="22"/>
                <w:szCs w:val="22"/>
              </w:rPr>
              <w:t>化工园区和化工项目</w:t>
            </w:r>
          </w:p>
        </w:tc>
        <w:tc>
          <w:tcPr>
            <w:tcW w:w="3563" w:type="dxa"/>
            <w:vAlign w:val="center"/>
          </w:tcPr>
          <w:p>
            <w:pPr>
              <w:overflowPunct w:val="0"/>
              <w:adjustRightInd/>
              <w:spacing w:line="240" w:lineRule="auto"/>
              <w:textAlignment w:val="baseline"/>
              <w:rPr>
                <w:rFonts w:hint="default" w:eastAsia="方正仿宋_GBK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Cs/>
                <w:color w:val="000000"/>
                <w:kern w:val="0"/>
                <w:sz w:val="22"/>
                <w:szCs w:val="22"/>
              </w:rPr>
              <w:t>长江干支流、重要湖泊岸线</w:t>
            </w: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/>
                <w:bCs/>
                <w:color w:val="000000"/>
                <w:kern w:val="0"/>
                <w:sz w:val="22"/>
                <w:szCs w:val="22"/>
              </w:rPr>
              <w:t>公里范围内</w:t>
            </w:r>
            <w:r>
              <w:rPr>
                <w:rFonts w:hint="eastAsia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限制准入</w:t>
            </w:r>
          </w:p>
        </w:tc>
        <w:tc>
          <w:tcPr>
            <w:tcW w:w="3075" w:type="dxa"/>
            <w:vAlign w:val="center"/>
          </w:tcPr>
          <w:p>
            <w:pPr>
              <w:overflowPunct w:val="0"/>
              <w:adjustRightInd/>
              <w:spacing w:line="240" w:lineRule="auto"/>
              <w:textAlignment w:val="baseline"/>
              <w:rPr>
                <w:rFonts w:hint="default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Cs/>
                <w:color w:val="000000"/>
                <w:kern w:val="0"/>
                <w:sz w:val="22"/>
                <w:szCs w:val="22"/>
              </w:rPr>
              <w:t>长江干支流、重要湖泊岸线</w:t>
            </w: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/>
                <w:bCs/>
                <w:color w:val="000000"/>
                <w:kern w:val="0"/>
                <w:sz w:val="22"/>
                <w:szCs w:val="22"/>
              </w:rPr>
              <w:t>公里范围内</w:t>
            </w:r>
            <w:r>
              <w:rPr>
                <w:rFonts w:hint="eastAsia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限制准入</w:t>
            </w:r>
          </w:p>
        </w:tc>
        <w:tc>
          <w:tcPr>
            <w:tcW w:w="3125" w:type="dxa"/>
            <w:vAlign w:val="center"/>
          </w:tcPr>
          <w:p>
            <w:pPr>
              <w:overflowPunct w:val="0"/>
              <w:adjustRightInd/>
              <w:spacing w:line="240" w:lineRule="auto"/>
              <w:textAlignment w:val="baseline"/>
              <w:rPr>
                <w:rFonts w:hint="default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Cs/>
                <w:color w:val="000000"/>
                <w:kern w:val="0"/>
                <w:sz w:val="22"/>
                <w:szCs w:val="22"/>
              </w:rPr>
              <w:t>长江干支流、重要湖泊岸线</w:t>
            </w: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/>
                <w:bCs/>
                <w:color w:val="000000"/>
                <w:kern w:val="0"/>
                <w:sz w:val="22"/>
                <w:szCs w:val="22"/>
              </w:rPr>
              <w:t>公里范围内</w:t>
            </w:r>
            <w:r>
              <w:rPr>
                <w:rFonts w:hint="eastAsia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限制准入</w:t>
            </w:r>
          </w:p>
        </w:tc>
        <w:tc>
          <w:tcPr>
            <w:tcW w:w="3050" w:type="dxa"/>
            <w:vAlign w:val="center"/>
          </w:tcPr>
          <w:p>
            <w:pPr>
              <w:overflowPunct w:val="0"/>
              <w:adjustRightInd/>
              <w:spacing w:line="240" w:lineRule="auto"/>
              <w:textAlignment w:val="baseline"/>
              <w:rPr>
                <w:rFonts w:hint="default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Cs/>
                <w:color w:val="000000"/>
                <w:kern w:val="0"/>
                <w:sz w:val="22"/>
                <w:szCs w:val="22"/>
              </w:rPr>
              <w:t>长江干支流、重要湖泊岸线</w:t>
            </w: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/>
                <w:bCs/>
                <w:color w:val="000000"/>
                <w:kern w:val="0"/>
                <w:sz w:val="22"/>
                <w:szCs w:val="22"/>
              </w:rPr>
              <w:t>公里范围内</w:t>
            </w:r>
            <w:r>
              <w:rPr>
                <w:rFonts w:hint="eastAsia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限制准入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2686" w:type="dxa"/>
            <w:vAlign w:val="center"/>
          </w:tcPr>
          <w:p>
            <w:pPr>
              <w:overflowPunct w:val="0"/>
              <w:adjustRightInd/>
              <w:spacing w:line="240" w:lineRule="auto"/>
              <w:jc w:val="both"/>
              <w:textAlignment w:val="baseline"/>
              <w:rPr>
                <w:rFonts w:hint="default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/>
                <w:bCs/>
                <w:color w:val="000000"/>
                <w:kern w:val="0"/>
                <w:sz w:val="22"/>
                <w:szCs w:val="22"/>
                <w:lang w:eastAsia="zh-CN"/>
              </w:rPr>
              <w:t>．</w:t>
            </w:r>
            <w:r>
              <w:rPr>
                <w:rFonts w:hint="eastAsia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布局新建</w:t>
            </w:r>
            <w:r>
              <w:rPr>
                <w:rFonts w:hint="eastAsia"/>
                <w:bCs/>
                <w:color w:val="000000"/>
                <w:kern w:val="0"/>
                <w:sz w:val="22"/>
                <w:szCs w:val="22"/>
              </w:rPr>
              <w:t>纸浆制造、印染等存在环境风险的项目</w:t>
            </w:r>
          </w:p>
        </w:tc>
        <w:tc>
          <w:tcPr>
            <w:tcW w:w="3563" w:type="dxa"/>
            <w:vAlign w:val="center"/>
          </w:tcPr>
          <w:p>
            <w:pPr>
              <w:overflowPunct w:val="0"/>
              <w:adjustRightInd/>
              <w:spacing w:line="240" w:lineRule="auto"/>
              <w:textAlignment w:val="baseline"/>
              <w:rPr>
                <w:rFonts w:hint="default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Cs/>
                <w:color w:val="000000"/>
                <w:kern w:val="0"/>
                <w:sz w:val="22"/>
                <w:szCs w:val="22"/>
              </w:rPr>
              <w:t>长江、嘉陵江、乌江岸线</w:t>
            </w: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/>
                <w:bCs/>
                <w:color w:val="000000"/>
                <w:kern w:val="0"/>
                <w:sz w:val="22"/>
                <w:szCs w:val="22"/>
              </w:rPr>
              <w:t>公里范围内限制准入</w:t>
            </w:r>
          </w:p>
        </w:tc>
        <w:tc>
          <w:tcPr>
            <w:tcW w:w="3075" w:type="dxa"/>
            <w:vAlign w:val="center"/>
          </w:tcPr>
          <w:p>
            <w:pPr>
              <w:overflowPunct w:val="0"/>
              <w:adjustRightInd/>
              <w:spacing w:line="240" w:lineRule="auto"/>
              <w:textAlignment w:val="baseline"/>
              <w:rPr>
                <w:rFonts w:hint="default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Cs/>
                <w:color w:val="000000"/>
                <w:kern w:val="0"/>
                <w:sz w:val="22"/>
                <w:szCs w:val="22"/>
              </w:rPr>
              <w:t>长江、嘉陵江、乌江岸线</w:t>
            </w: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/>
                <w:bCs/>
                <w:color w:val="000000"/>
                <w:kern w:val="0"/>
                <w:sz w:val="22"/>
                <w:szCs w:val="22"/>
              </w:rPr>
              <w:t>公里范围内限制准入</w:t>
            </w:r>
          </w:p>
        </w:tc>
        <w:tc>
          <w:tcPr>
            <w:tcW w:w="3125" w:type="dxa"/>
            <w:vAlign w:val="center"/>
          </w:tcPr>
          <w:p>
            <w:pPr>
              <w:overflowPunct w:val="0"/>
              <w:adjustRightInd/>
              <w:spacing w:line="240" w:lineRule="auto"/>
              <w:textAlignment w:val="baseline"/>
              <w:rPr>
                <w:rFonts w:hint="default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Cs/>
                <w:color w:val="000000"/>
                <w:kern w:val="0"/>
                <w:sz w:val="22"/>
                <w:szCs w:val="22"/>
              </w:rPr>
              <w:t>长江、嘉陵江、乌江岸线</w:t>
            </w: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/>
                <w:bCs/>
                <w:color w:val="000000"/>
                <w:kern w:val="0"/>
                <w:sz w:val="22"/>
                <w:szCs w:val="22"/>
              </w:rPr>
              <w:t>公里范围内限制准入</w:t>
            </w:r>
          </w:p>
        </w:tc>
        <w:tc>
          <w:tcPr>
            <w:tcW w:w="3050" w:type="dxa"/>
            <w:vAlign w:val="center"/>
          </w:tcPr>
          <w:p>
            <w:pPr>
              <w:overflowPunct w:val="0"/>
              <w:adjustRightInd/>
              <w:spacing w:line="240" w:lineRule="auto"/>
              <w:textAlignment w:val="baseline"/>
              <w:rPr>
                <w:rFonts w:hint="default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Cs/>
                <w:color w:val="000000"/>
                <w:kern w:val="0"/>
                <w:sz w:val="22"/>
                <w:szCs w:val="22"/>
              </w:rPr>
              <w:t>长江、嘉陵江、乌江岸线</w:t>
            </w: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/>
                <w:bCs/>
                <w:color w:val="000000"/>
                <w:kern w:val="0"/>
                <w:sz w:val="22"/>
                <w:szCs w:val="22"/>
              </w:rPr>
              <w:t>公里范围内限制准入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2686" w:type="dxa"/>
            <w:vAlign w:val="center"/>
          </w:tcPr>
          <w:p>
            <w:pPr>
              <w:overflowPunct w:val="0"/>
              <w:adjustRightInd/>
              <w:spacing w:line="240" w:lineRule="auto"/>
              <w:jc w:val="both"/>
              <w:textAlignment w:val="baseline"/>
              <w:rPr>
                <w:rFonts w:hint="default"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2"/>
                <w:szCs w:val="22"/>
                <w:highlight w:val="none"/>
              </w:rPr>
              <w:t>13</w:t>
            </w:r>
            <w:r>
              <w:rPr>
                <w:rFonts w:hint="eastAsia"/>
                <w:bCs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．</w:t>
            </w:r>
            <w:r>
              <w:rPr>
                <w:rFonts w:hint="eastAsia"/>
                <w:bCs/>
                <w:color w:val="000000"/>
                <w:kern w:val="0"/>
                <w:sz w:val="22"/>
                <w:szCs w:val="22"/>
                <w:highlight w:val="none"/>
              </w:rPr>
              <w:t>新建围湖造田等投资建设项目</w:t>
            </w:r>
          </w:p>
        </w:tc>
        <w:tc>
          <w:tcPr>
            <w:tcW w:w="3563" w:type="dxa"/>
            <w:vAlign w:val="center"/>
          </w:tcPr>
          <w:p>
            <w:pPr>
              <w:overflowPunct w:val="0"/>
              <w:adjustRightInd/>
              <w:spacing w:line="240" w:lineRule="auto"/>
              <w:textAlignment w:val="baseline"/>
              <w:rPr>
                <w:rFonts w:hint="default"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bCs/>
                <w:color w:val="000000"/>
                <w:kern w:val="0"/>
                <w:sz w:val="22"/>
                <w:szCs w:val="22"/>
                <w:highlight w:val="none"/>
              </w:rPr>
              <w:t>江北区、南岸区、渝北区、巴南区的水产种质资源保护区的岸线和河段范围内限制准入</w:t>
            </w:r>
          </w:p>
        </w:tc>
        <w:tc>
          <w:tcPr>
            <w:tcW w:w="3075" w:type="dxa"/>
            <w:vAlign w:val="center"/>
          </w:tcPr>
          <w:p>
            <w:pPr>
              <w:overflowPunct w:val="0"/>
              <w:adjustRightInd/>
              <w:spacing w:line="240" w:lineRule="auto"/>
              <w:textAlignment w:val="baseline"/>
              <w:rPr>
                <w:rFonts w:hint="default"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bCs/>
                <w:color w:val="000000"/>
                <w:kern w:val="0"/>
                <w:sz w:val="22"/>
                <w:szCs w:val="22"/>
                <w:highlight w:val="none"/>
              </w:rPr>
              <w:t>涪陵区、长寿区、合川区的水产种质资源保护区的岸线和河段范围内限制准入</w:t>
            </w:r>
          </w:p>
        </w:tc>
        <w:tc>
          <w:tcPr>
            <w:tcW w:w="3125" w:type="dxa"/>
            <w:vAlign w:val="center"/>
          </w:tcPr>
          <w:p>
            <w:pPr>
              <w:overflowPunct w:val="0"/>
              <w:adjustRightInd/>
              <w:spacing w:line="240" w:lineRule="auto"/>
              <w:textAlignment w:val="baseline"/>
              <w:rPr>
                <w:rFonts w:hint="default"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bCs/>
                <w:color w:val="000000"/>
                <w:kern w:val="0"/>
                <w:sz w:val="22"/>
                <w:szCs w:val="22"/>
                <w:highlight w:val="none"/>
              </w:rPr>
              <w:t>奉节县的水产种质资源保护区的岸线和河段范围内限制准入</w:t>
            </w:r>
          </w:p>
        </w:tc>
        <w:tc>
          <w:tcPr>
            <w:tcW w:w="3050" w:type="dxa"/>
            <w:vAlign w:val="center"/>
          </w:tcPr>
          <w:p>
            <w:pPr>
              <w:overflowPunct w:val="0"/>
              <w:adjustRightInd/>
              <w:spacing w:line="240" w:lineRule="auto"/>
              <w:textAlignment w:val="baseline"/>
              <w:rPr>
                <w:rFonts w:hint="default"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</w:tbl>
    <w:p>
      <w:pPr>
        <w:tabs>
          <w:tab w:val="left" w:pos="10404"/>
        </w:tabs>
        <w:overflowPunct w:val="0"/>
        <w:adjustRightInd/>
        <w:spacing w:line="240" w:lineRule="auto"/>
        <w:rPr>
          <w:rFonts w:ascii="Times New Roman" w:hAnsi="Times New Roman" w:eastAsia="等线"/>
          <w:color w:val="000000"/>
          <w:sz w:val="21"/>
          <w:szCs w:val="22"/>
        </w:rPr>
      </w:pPr>
      <w:r>
        <w:rPr>
          <w:rFonts w:ascii="Times New Roman" w:hAnsi="Times New Roman" w:eastAsia="等线"/>
          <w:color w:val="000000"/>
          <w:sz w:val="21"/>
          <w:szCs w:val="22"/>
        </w:rPr>
        <w:tab/>
      </w:r>
    </w:p>
    <w:p>
      <w:pPr>
        <w:overflowPunct w:val="0"/>
        <w:adjustRightInd/>
        <w:spacing w:line="240" w:lineRule="auto"/>
        <w:rPr>
          <w:rFonts w:ascii="Times New Roman" w:hAnsi="Times New Roman" w:eastAsia="等线"/>
          <w:color w:val="000000"/>
          <w:sz w:val="21"/>
          <w:szCs w:val="22"/>
        </w:rPr>
        <w:sectPr>
          <w:footerReference r:id="rId3" w:type="default"/>
          <w:pgSz w:w="16838" w:h="11906" w:orient="landscape"/>
          <w:pgMar w:top="1531" w:right="2098" w:bottom="1531" w:left="1984" w:header="851" w:footer="1417" w:gutter="0"/>
          <w:pgNumType w:fmt="decimal"/>
          <w:cols w:space="708" w:num="1"/>
          <w:rtlGutter w:val="0"/>
          <w:docGrid w:type="linesAndChars" w:linePitch="579" w:charSpace="-849"/>
        </w:sectPr>
      </w:pPr>
    </w:p>
    <w:p>
      <w:pPr>
        <w:adjustRightInd/>
        <w:spacing w:line="240" w:lineRule="auto"/>
        <w:rPr>
          <w:rFonts w:hint="eastAsia"/>
        </w:rPr>
      </w:pPr>
    </w:p>
    <w:p>
      <w:pPr>
        <w:adjustRightInd/>
        <w:spacing w:line="240" w:lineRule="auto"/>
        <w:rPr>
          <w:rFonts w:hint="eastAsia"/>
        </w:rPr>
      </w:pPr>
    </w:p>
    <w:p>
      <w:pPr>
        <w:adjustRightInd/>
        <w:spacing w:line="240" w:lineRule="auto"/>
        <w:rPr>
          <w:rFonts w:hint="eastAsia"/>
        </w:rPr>
      </w:pPr>
    </w:p>
    <w:p>
      <w:pPr>
        <w:adjustRightInd/>
        <w:spacing w:line="240" w:lineRule="auto"/>
        <w:rPr>
          <w:rFonts w:hint="eastAsia"/>
        </w:rPr>
      </w:pPr>
    </w:p>
    <w:p>
      <w:pPr>
        <w:adjustRightInd/>
        <w:spacing w:line="240" w:lineRule="auto"/>
        <w:rPr>
          <w:rFonts w:hint="eastAsia"/>
        </w:rPr>
      </w:pPr>
    </w:p>
    <w:p>
      <w:pPr>
        <w:adjustRightInd/>
        <w:spacing w:line="240" w:lineRule="auto"/>
        <w:rPr>
          <w:rFonts w:hint="eastAsia"/>
        </w:rPr>
      </w:pPr>
    </w:p>
    <w:p>
      <w:pPr>
        <w:adjustRightInd/>
        <w:spacing w:line="240" w:lineRule="auto"/>
        <w:rPr>
          <w:rFonts w:hint="eastAsia"/>
        </w:rPr>
      </w:pPr>
    </w:p>
    <w:p>
      <w:pPr>
        <w:adjustRightInd/>
        <w:spacing w:line="240" w:lineRule="auto"/>
        <w:rPr>
          <w:rFonts w:hint="eastAsia"/>
        </w:rPr>
      </w:pPr>
    </w:p>
    <w:p>
      <w:pPr>
        <w:adjustRightInd/>
        <w:spacing w:line="240" w:lineRule="auto"/>
        <w:rPr>
          <w:rFonts w:hint="eastAsia"/>
        </w:rPr>
      </w:pPr>
    </w:p>
    <w:p>
      <w:pPr>
        <w:adjustRightInd/>
        <w:spacing w:line="240" w:lineRule="auto"/>
        <w:rPr>
          <w:rFonts w:hint="eastAsia"/>
        </w:rPr>
      </w:pPr>
    </w:p>
    <w:p>
      <w:pPr>
        <w:adjustRightInd/>
        <w:spacing w:line="240" w:lineRule="auto"/>
        <w:rPr>
          <w:rFonts w:hint="eastAsia"/>
        </w:rPr>
      </w:pPr>
    </w:p>
    <w:p>
      <w:pPr>
        <w:adjustRightInd/>
        <w:spacing w:line="240" w:lineRule="auto"/>
        <w:rPr>
          <w:rFonts w:hint="eastAsia"/>
        </w:rPr>
      </w:pPr>
    </w:p>
    <w:p>
      <w:pPr>
        <w:adjustRightInd/>
        <w:spacing w:line="240" w:lineRule="auto"/>
        <w:rPr>
          <w:rFonts w:hint="eastAsia"/>
        </w:rPr>
      </w:pPr>
    </w:p>
    <w:p>
      <w:pPr>
        <w:adjustRightInd/>
        <w:spacing w:line="240" w:lineRule="auto"/>
        <w:rPr>
          <w:rFonts w:hint="eastAsia"/>
        </w:rPr>
      </w:pPr>
    </w:p>
    <w:p>
      <w:pPr>
        <w:adjustRightInd/>
        <w:spacing w:line="240" w:lineRule="auto"/>
        <w:rPr>
          <w:rFonts w:hint="eastAsia"/>
        </w:rPr>
      </w:pPr>
    </w:p>
    <w:p>
      <w:pPr>
        <w:adjustRightInd/>
        <w:spacing w:line="240" w:lineRule="auto"/>
        <w:rPr>
          <w:rFonts w:hint="eastAsia"/>
        </w:rPr>
      </w:pPr>
    </w:p>
    <w:p>
      <w:pPr>
        <w:adjustRightInd/>
        <w:spacing w:line="240" w:lineRule="auto"/>
        <w:rPr>
          <w:rFonts w:hint="eastAsia"/>
        </w:rPr>
      </w:pPr>
    </w:p>
    <w:p>
      <w:pPr>
        <w:adjustRightInd/>
        <w:spacing w:line="240" w:lineRule="auto"/>
        <w:rPr>
          <w:rFonts w:hint="eastAsia"/>
        </w:rPr>
      </w:pPr>
    </w:p>
    <w:p>
      <w:pPr>
        <w:adjustRightInd/>
        <w:spacing w:line="240" w:lineRule="auto"/>
        <w:rPr>
          <w:rFonts w:hint="eastAsia"/>
          <w:sz w:val="28"/>
          <w:szCs w:val="28"/>
        </w:rPr>
      </w:pPr>
    </w:p>
    <w:p>
      <w:pPr>
        <w:pBdr>
          <w:bottom w:val="single" w:color="auto" w:sz="12" w:space="0"/>
        </w:pBdr>
        <w:adjustRightInd/>
        <w:spacing w:line="460" w:lineRule="exact"/>
        <w:rPr>
          <w:rFonts w:hint="eastAsia"/>
          <w:sz w:val="28"/>
          <w:szCs w:val="28"/>
        </w:rPr>
      </w:pPr>
    </w:p>
    <w:p>
      <w:pPr>
        <w:adjustRightInd/>
        <w:spacing w:line="20" w:lineRule="exact"/>
        <w:rPr>
          <w:rFonts w:hint="default"/>
          <w:sz w:val="28"/>
          <w:szCs w:val="28"/>
          <w:lang w:val="en-US" w:eastAsia="zh-CN"/>
        </w:rPr>
      </w:pPr>
    </w:p>
    <w:p>
      <w:pPr>
        <w:pBdr>
          <w:bottom w:val="single" w:color="auto" w:sz="4" w:space="0"/>
        </w:pBdr>
        <w:adjustRightInd/>
        <w:spacing w:line="240" w:lineRule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抄送</w:t>
      </w:r>
      <w:r>
        <w:rPr>
          <w:rFonts w:hint="eastAsia"/>
          <w:spacing w:val="-6"/>
          <w:sz w:val="28"/>
          <w:szCs w:val="28"/>
          <w:lang w:val="en-US" w:eastAsia="zh-CN"/>
        </w:rPr>
        <w:t>：市经济信息委、市规划自然资源局、市生态环境局、市农业农村委。</w:t>
      </w:r>
    </w:p>
    <w:p>
      <w:pPr>
        <w:pBdr>
          <w:bottom w:val="single" w:color="auto" w:sz="12" w:space="0"/>
        </w:pBdr>
        <w:adjustRightInd/>
        <w:spacing w:line="240" w:lineRule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重庆市发展和改革委员会办公室            2022年12月14日印发  </w:t>
      </w:r>
    </w:p>
    <w:sectPr>
      <w:footerReference r:id="rId4" w:type="default"/>
      <w:footerReference r:id="rId5" w:type="even"/>
      <w:pgSz w:w="11906" w:h="16838"/>
      <w:pgMar w:top="2098" w:right="1531" w:bottom="1984" w:left="1531" w:header="851" w:footer="1417" w:gutter="0"/>
      <w:pgNumType w:fmt="decimal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文本框 4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="方正仿宋_GBK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/>
                    <w:sz w:val="28"/>
                    <w:szCs w:val="28"/>
                    <w:lang w:eastAsia="zh-CN"/>
                  </w:rPr>
                  <w:t xml:space="preserve">— </w: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sz w:val="18"/>
      </w:rPr>
      <w:pict>
        <v:shape id="_x0000_s2054" o:spid="_x0000_s2054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jc w:val="right"/>
                </w:pPr>
              </w:p>
              <w:p/>
            </w:txbxContent>
          </v:textbox>
        </v:shape>
      </w:pict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trackRevisions w:val="1"/>
  <w:documentProtection w:enforcement="0"/>
  <w:defaultTabStop w:val="425"/>
  <w:drawingGridHorizontalSpacing w:val="158"/>
  <w:drawingGridVerticalSpacing w:val="290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1FB"/>
    <w:rsid w:val="000A01FB"/>
    <w:rsid w:val="000B24F9"/>
    <w:rsid w:val="000B4A22"/>
    <w:rsid w:val="000C0BF7"/>
    <w:rsid w:val="000C2FB2"/>
    <w:rsid w:val="000C6B28"/>
    <w:rsid w:val="000F25BF"/>
    <w:rsid w:val="001005AC"/>
    <w:rsid w:val="001024AA"/>
    <w:rsid w:val="001056AD"/>
    <w:rsid w:val="00182501"/>
    <w:rsid w:val="00185691"/>
    <w:rsid w:val="001B58F6"/>
    <w:rsid w:val="001D3042"/>
    <w:rsid w:val="001E64D7"/>
    <w:rsid w:val="001F7BBB"/>
    <w:rsid w:val="002466FA"/>
    <w:rsid w:val="00250A8A"/>
    <w:rsid w:val="0026530B"/>
    <w:rsid w:val="00266A87"/>
    <w:rsid w:val="00296D93"/>
    <w:rsid w:val="002B04C6"/>
    <w:rsid w:val="00301B6D"/>
    <w:rsid w:val="00392240"/>
    <w:rsid w:val="00396CAE"/>
    <w:rsid w:val="003B3891"/>
    <w:rsid w:val="003D5F25"/>
    <w:rsid w:val="003E4FE8"/>
    <w:rsid w:val="003E5084"/>
    <w:rsid w:val="003F450B"/>
    <w:rsid w:val="00413264"/>
    <w:rsid w:val="00432433"/>
    <w:rsid w:val="00434D79"/>
    <w:rsid w:val="00474C3A"/>
    <w:rsid w:val="00496D2E"/>
    <w:rsid w:val="00497F00"/>
    <w:rsid w:val="004A2FB3"/>
    <w:rsid w:val="004E0474"/>
    <w:rsid w:val="0050535E"/>
    <w:rsid w:val="005777F4"/>
    <w:rsid w:val="005C7EAE"/>
    <w:rsid w:val="005F3C4D"/>
    <w:rsid w:val="006042BD"/>
    <w:rsid w:val="006068C6"/>
    <w:rsid w:val="006A30D0"/>
    <w:rsid w:val="006C0DE2"/>
    <w:rsid w:val="0072131F"/>
    <w:rsid w:val="00731C1B"/>
    <w:rsid w:val="00737083"/>
    <w:rsid w:val="00765BC9"/>
    <w:rsid w:val="007770A5"/>
    <w:rsid w:val="00794916"/>
    <w:rsid w:val="007F46CB"/>
    <w:rsid w:val="00800B8F"/>
    <w:rsid w:val="00815223"/>
    <w:rsid w:val="00831787"/>
    <w:rsid w:val="00850D3F"/>
    <w:rsid w:val="00853F77"/>
    <w:rsid w:val="00860A47"/>
    <w:rsid w:val="00891C35"/>
    <w:rsid w:val="008935D1"/>
    <w:rsid w:val="008B74C0"/>
    <w:rsid w:val="009048D5"/>
    <w:rsid w:val="00904AFE"/>
    <w:rsid w:val="0092122C"/>
    <w:rsid w:val="009220DF"/>
    <w:rsid w:val="00946543"/>
    <w:rsid w:val="00965CCB"/>
    <w:rsid w:val="00972E17"/>
    <w:rsid w:val="00974193"/>
    <w:rsid w:val="009A5EB0"/>
    <w:rsid w:val="00A40C10"/>
    <w:rsid w:val="00A443C1"/>
    <w:rsid w:val="00A955CD"/>
    <w:rsid w:val="00B1777D"/>
    <w:rsid w:val="00B3247A"/>
    <w:rsid w:val="00B51CD6"/>
    <w:rsid w:val="00B73014"/>
    <w:rsid w:val="00B833D8"/>
    <w:rsid w:val="00BF0A53"/>
    <w:rsid w:val="00C355D8"/>
    <w:rsid w:val="00C464A8"/>
    <w:rsid w:val="00C6762A"/>
    <w:rsid w:val="00CD4D55"/>
    <w:rsid w:val="00D01740"/>
    <w:rsid w:val="00D7295A"/>
    <w:rsid w:val="00D878F1"/>
    <w:rsid w:val="00D902A8"/>
    <w:rsid w:val="00D97CFB"/>
    <w:rsid w:val="00DB38C2"/>
    <w:rsid w:val="00DD2B37"/>
    <w:rsid w:val="00DD4877"/>
    <w:rsid w:val="00E03841"/>
    <w:rsid w:val="00E7080E"/>
    <w:rsid w:val="00E73AC1"/>
    <w:rsid w:val="00E770E1"/>
    <w:rsid w:val="00E87C70"/>
    <w:rsid w:val="00E93235"/>
    <w:rsid w:val="00ED5B9D"/>
    <w:rsid w:val="00F14A44"/>
    <w:rsid w:val="00F62083"/>
    <w:rsid w:val="00F63B69"/>
    <w:rsid w:val="00FA4D84"/>
    <w:rsid w:val="00FA4DBD"/>
    <w:rsid w:val="01A06D82"/>
    <w:rsid w:val="01B25A4D"/>
    <w:rsid w:val="03505C66"/>
    <w:rsid w:val="07DE0AAA"/>
    <w:rsid w:val="0CF02DEE"/>
    <w:rsid w:val="103D1222"/>
    <w:rsid w:val="12080E07"/>
    <w:rsid w:val="12C81AA5"/>
    <w:rsid w:val="1578613D"/>
    <w:rsid w:val="193D01E0"/>
    <w:rsid w:val="1D2027D0"/>
    <w:rsid w:val="1D4E12BA"/>
    <w:rsid w:val="1F4C00ED"/>
    <w:rsid w:val="226117B6"/>
    <w:rsid w:val="23445D57"/>
    <w:rsid w:val="23570372"/>
    <w:rsid w:val="256B156C"/>
    <w:rsid w:val="25B27047"/>
    <w:rsid w:val="26D83835"/>
    <w:rsid w:val="27F5397D"/>
    <w:rsid w:val="2AFF29AF"/>
    <w:rsid w:val="2B6540BB"/>
    <w:rsid w:val="2B6F62D5"/>
    <w:rsid w:val="2B8704A8"/>
    <w:rsid w:val="30C82935"/>
    <w:rsid w:val="359D56FF"/>
    <w:rsid w:val="35A2729B"/>
    <w:rsid w:val="35EF5E14"/>
    <w:rsid w:val="37083883"/>
    <w:rsid w:val="38146403"/>
    <w:rsid w:val="38B97D28"/>
    <w:rsid w:val="3A1F5203"/>
    <w:rsid w:val="3D584BA2"/>
    <w:rsid w:val="402E288B"/>
    <w:rsid w:val="417E794A"/>
    <w:rsid w:val="45E47B16"/>
    <w:rsid w:val="47651902"/>
    <w:rsid w:val="477B47A9"/>
    <w:rsid w:val="4A30398A"/>
    <w:rsid w:val="4A4169BC"/>
    <w:rsid w:val="4AC07792"/>
    <w:rsid w:val="4CE7092E"/>
    <w:rsid w:val="4E252DB9"/>
    <w:rsid w:val="5073301F"/>
    <w:rsid w:val="52802CE8"/>
    <w:rsid w:val="545424E6"/>
    <w:rsid w:val="54E47F11"/>
    <w:rsid w:val="55835057"/>
    <w:rsid w:val="5BC50A62"/>
    <w:rsid w:val="60050F24"/>
    <w:rsid w:val="61561366"/>
    <w:rsid w:val="6383212C"/>
    <w:rsid w:val="65E0558A"/>
    <w:rsid w:val="68E8683A"/>
    <w:rsid w:val="694D661D"/>
    <w:rsid w:val="696E3491"/>
    <w:rsid w:val="6AFF5937"/>
    <w:rsid w:val="6C3D2854"/>
    <w:rsid w:val="6E163EDE"/>
    <w:rsid w:val="726C3FD1"/>
    <w:rsid w:val="73815F40"/>
    <w:rsid w:val="75A692E0"/>
    <w:rsid w:val="76B77724"/>
    <w:rsid w:val="7A7973A8"/>
    <w:rsid w:val="7B0C0998"/>
    <w:rsid w:val="7BAA0A78"/>
    <w:rsid w:val="7C5031A0"/>
    <w:rsid w:val="7E707F48"/>
    <w:rsid w:val="7EFE1DAF"/>
    <w:rsid w:val="7FBF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页脚 Char"/>
    <w:link w:val="3"/>
    <w:uiPriority w:val="99"/>
    <w:rPr>
      <w:rFonts w:eastAsia="方正仿宋_GBK"/>
      <w:sz w:val="18"/>
      <w:szCs w:val="18"/>
    </w:rPr>
  </w:style>
  <w:style w:type="character" w:customStyle="1" w:styleId="9">
    <w:name w:val="页眉 Char"/>
    <w:link w:val="4"/>
    <w:uiPriority w:val="0"/>
    <w:rPr>
      <w:rFonts w:eastAsia="方正仿宋_GBK"/>
      <w:sz w:val="18"/>
      <w:szCs w:val="18"/>
    </w:rPr>
  </w:style>
  <w:style w:type="paragraph" w:customStyle="1" w:styleId="10">
    <w:name w:val="普通(网站)1"/>
    <w:basedOn w:val="1"/>
    <w:semiHidden/>
    <w:uiPriority w:val="99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2054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jw</Company>
  <Pages>1</Pages>
  <Words>3</Words>
  <Characters>20</Characters>
  <Lines>1</Lines>
  <Paragraphs>1</Paragraphs>
  <TotalTime>2</TotalTime>
  <ScaleCrop>false</ScaleCrop>
  <LinksUpToDate>false</LinksUpToDate>
  <CharactersWithSpaces>22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2009-06-05T10:03:00Z</dcterms:created>
  <dc:creator>jw</dc:creator>
  <cp:lastModifiedBy>周卒</cp:lastModifiedBy>
  <cp:lastPrinted>2022-12-14T03:37:00Z</cp:lastPrinted>
  <dcterms:modified xsi:type="dcterms:W3CDTF">2022-12-16T03:33:30Z</dcterms:modified>
  <dc:title>重庆市计委关于巫山县小小三峡手扒岩至平河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