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ascii="方正仿宋_GBK" w:hAnsi="方正仿宋_GBK" w:cs="方正仿宋_GBK"/>
          <w:bCs/>
        </w:rPr>
      </w:pPr>
    </w:p>
    <w:p>
      <w:pPr>
        <w:adjustRightInd/>
        <w:spacing w:line="240" w:lineRule="auto"/>
        <w:rPr>
          <w:rFonts w:ascii="方正仿宋_GBK" w:hAnsi="方正仿宋_GBK" w:cs="方正仿宋_GBK"/>
          <w:bCs/>
        </w:rPr>
      </w:pPr>
    </w:p>
    <w:p>
      <w:pPr>
        <w:adjustRightInd/>
        <w:spacing w:line="240" w:lineRule="auto"/>
        <w:rPr>
          <w:rFonts w:ascii="方正仿宋_GBK" w:hAnsi="方正仿宋_GBK" w:cs="方正仿宋_GBK"/>
          <w:bCs/>
        </w:rPr>
      </w:pPr>
    </w:p>
    <w:p>
      <w:pPr>
        <w:adjustRightInd/>
        <w:spacing w:line="240" w:lineRule="auto"/>
        <w:rPr>
          <w:bCs/>
        </w:rPr>
      </w:pPr>
    </w:p>
    <w:p>
      <w:pPr>
        <w:adjustRightInd/>
        <w:spacing w:line="240" w:lineRule="auto"/>
        <w:rPr>
          <w:bCs/>
        </w:rPr>
      </w:pPr>
    </w:p>
    <w:p>
      <w:pPr>
        <w:adjustRightInd/>
        <w:spacing w:line="240" w:lineRule="auto"/>
        <w:jc w:val="center"/>
        <w:rPr>
          <w:rFonts w:eastAsia="宋体"/>
          <w:kern w:val="2"/>
        </w:rPr>
      </w:pPr>
    </w:p>
    <w:p>
      <w:pPr>
        <w:adjustRightInd/>
        <w:spacing w:line="240" w:lineRule="auto"/>
        <w:jc w:val="center"/>
        <w:rPr>
          <w:rFonts w:eastAsia="宋体"/>
          <w:kern w:val="2"/>
        </w:rPr>
      </w:pPr>
    </w:p>
    <w:p>
      <w:pPr>
        <w:adjustRightInd/>
        <w:spacing w:line="240" w:lineRule="auto"/>
        <w:jc w:val="both"/>
        <w:rPr>
          <w:rFonts w:eastAsia="宋体"/>
          <w:kern w:val="2"/>
        </w:rPr>
      </w:pPr>
    </w:p>
    <w:p>
      <w:pPr>
        <w:adjustRightInd/>
        <w:spacing w:line="240" w:lineRule="auto"/>
        <w:jc w:val="center"/>
        <w:rPr>
          <w:rFonts w:hint="eastAsia" w:ascii="方正仿宋_GBK" w:hAnsi="方正仿宋_GBK" w:cs="方正仿宋_GBK"/>
          <w:bCs/>
        </w:rPr>
      </w:pPr>
      <w:r>
        <w:rPr>
          <w:rFonts w:hint="eastAsia" w:ascii="方正仿宋_GBK" w:hAnsi="方正仿宋_GBK" w:eastAsia="方正仿宋_GBK" w:cs="方正仿宋_GBK"/>
          <w:vanish w:val="0"/>
          <w:kern w:val="2"/>
        </w:rPr>
        <w:t>渝发改财金〔</w:t>
      </w:r>
      <w:r>
        <w:rPr>
          <w:rFonts w:hint="eastAsia" w:eastAsia="方正仿宋_GBK" w:cs="方正仿宋_GBK"/>
          <w:vanish w:val="0"/>
          <w:kern w:val="2"/>
        </w:rPr>
        <w:t>2022</w:t>
      </w:r>
      <w:r>
        <w:rPr>
          <w:rFonts w:hint="eastAsia" w:ascii="方正仿宋_GBK" w:hAnsi="方正仿宋_GBK" w:eastAsia="方正仿宋_GBK" w:cs="方正仿宋_GBK"/>
          <w:vanish w:val="0"/>
          <w:kern w:val="2"/>
        </w:rPr>
        <w:t>〕</w:t>
      </w:r>
      <w:r>
        <w:rPr>
          <w:rFonts w:hint="eastAsia" w:eastAsia="方正仿宋_GBK" w:cs="方正仿宋_GBK"/>
          <w:vanish w:val="0"/>
          <w:kern w:val="2"/>
        </w:rPr>
        <w:t>1439</w:t>
      </w:r>
      <w:r>
        <w:rPr>
          <w:rFonts w:hint="eastAsia" w:ascii="方正仿宋_GBK" w:hAnsi="方正仿宋_GBK" w:eastAsia="方正仿宋_GBK" w:cs="方正仿宋_GBK"/>
          <w:vanish w:val="0"/>
          <w:kern w:val="2"/>
        </w:rPr>
        <w:t>号</w:t>
      </w:r>
    </w:p>
    <w:p>
      <w:pPr>
        <w:adjustRightInd/>
        <w:spacing w:line="240" w:lineRule="auto"/>
        <w:jc w:val="center"/>
        <w:rPr>
          <w:bCs/>
        </w:rPr>
      </w:pP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jc w:val="both"/>
        <w:rPr>
          <w:rFonts w:hint="eastAsia" w:eastAsia="方正小标宋_GBK"/>
          <w:bCs/>
          <w:sz w:val="44"/>
          <w:szCs w:val="44"/>
        </w:rPr>
      </w:pPr>
      <w:bookmarkStart w:id="0" w:name="正文"/>
      <w:bookmarkEnd w:id="0"/>
    </w:p>
    <w:p>
      <w:pPr>
        <w:keepNext w:val="0"/>
        <w:keepLines w:val="0"/>
        <w:pageBreakBefore w:val="0"/>
        <w:kinsoku/>
        <w:wordWrap/>
        <w:overflowPunct/>
        <w:topLinePunct w:val="0"/>
        <w:autoSpaceDE/>
        <w:autoSpaceDN/>
        <w:bidi w:val="0"/>
        <w:adjustRightInd/>
        <w:snapToGrid/>
        <w:spacing w:beforeAutospacing="0" w:after="0" w:line="580" w:lineRule="exact"/>
        <w:ind w:left="0" w:leftChars="0" w:right="0"/>
        <w:jc w:val="center"/>
        <w:rPr>
          <w:rFonts w:hint="eastAsia" w:eastAsia="方正小标宋_GBK"/>
          <w:bCs/>
          <w:sz w:val="44"/>
          <w:szCs w:val="44"/>
        </w:rPr>
      </w:pPr>
      <w:bookmarkStart w:id="4" w:name="_GoBack"/>
      <w:r>
        <w:rPr>
          <w:rFonts w:hint="eastAsia" w:eastAsia="方正小标宋_GBK"/>
          <w:bCs/>
          <w:sz w:val="44"/>
          <w:szCs w:val="44"/>
        </w:rPr>
        <w:t>重庆市发展和改革委员会</w:t>
      </w:r>
      <w:bookmarkStart w:id="1" w:name="bt"/>
      <w:bookmarkEnd w:id="1"/>
    </w:p>
    <w:p>
      <w:pPr>
        <w:keepNext w:val="0"/>
        <w:keepLines w:val="0"/>
        <w:pageBreakBefore w:val="0"/>
        <w:kinsoku/>
        <w:wordWrap/>
        <w:overflowPunct/>
        <w:topLinePunct w:val="0"/>
        <w:autoSpaceDE/>
        <w:autoSpaceDN/>
        <w:bidi w:val="0"/>
        <w:adjustRightInd/>
        <w:snapToGrid/>
        <w:spacing w:beforeAutospacing="0" w:after="0" w:line="580" w:lineRule="exact"/>
        <w:ind w:left="0" w:leftChars="0" w:right="0"/>
        <w:jc w:val="center"/>
        <w:rPr>
          <w:rFonts w:hint="eastAsia" w:eastAsia="方正小标宋_GBK"/>
          <w:bCs/>
          <w:sz w:val="44"/>
        </w:rPr>
      </w:pPr>
      <w:r>
        <w:rPr>
          <w:rFonts w:hint="eastAsia" w:eastAsia="方正小标宋_GBK"/>
          <w:bCs/>
          <w:sz w:val="44"/>
        </w:rPr>
        <w:t>关于开展2023年度企业债券本息兑付风险排查</w:t>
      </w:r>
    </w:p>
    <w:p>
      <w:pPr>
        <w:keepNext w:val="0"/>
        <w:keepLines w:val="0"/>
        <w:pageBreakBefore w:val="0"/>
        <w:kinsoku/>
        <w:wordWrap/>
        <w:overflowPunct/>
        <w:topLinePunct w:val="0"/>
        <w:autoSpaceDE/>
        <w:autoSpaceDN/>
        <w:bidi w:val="0"/>
        <w:adjustRightInd/>
        <w:snapToGrid/>
        <w:spacing w:beforeAutospacing="0" w:after="0" w:line="580" w:lineRule="exact"/>
        <w:ind w:left="0" w:leftChars="0" w:right="0"/>
        <w:jc w:val="center"/>
        <w:rPr>
          <w:rFonts w:hint="eastAsia" w:eastAsia="方正小标宋_GBK"/>
          <w:bCs/>
          <w:sz w:val="44"/>
          <w:szCs w:val="44"/>
        </w:rPr>
      </w:pPr>
      <w:r>
        <w:rPr>
          <w:rFonts w:hint="eastAsia" w:eastAsia="方正小标宋_GBK"/>
          <w:bCs/>
          <w:sz w:val="44"/>
        </w:rPr>
        <w:t>和存续期管理有关工作的通知</w:t>
      </w:r>
    </w:p>
    <w:bookmarkEnd w:id="4"/>
    <w:p>
      <w:pPr>
        <w:keepNext w:val="0"/>
        <w:keepLines w:val="0"/>
        <w:pageBreakBefore w:val="0"/>
        <w:kinsoku/>
        <w:wordWrap/>
        <w:overflowPunct/>
        <w:topLinePunct w:val="0"/>
        <w:autoSpaceDE/>
        <w:autoSpaceDN/>
        <w:bidi w:val="0"/>
        <w:adjustRightInd/>
        <w:snapToGrid/>
        <w:spacing w:beforeAutospacing="0" w:after="0" w:line="240" w:lineRule="auto"/>
        <w:ind w:left="0" w:leftChars="0" w:right="0"/>
      </w:pP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outlineLvl w:val="9"/>
        <w:rPr>
          <w:bCs/>
        </w:rPr>
      </w:pPr>
      <w:bookmarkStart w:id="2" w:name="zs"/>
      <w:bookmarkEnd w:id="2"/>
      <w:r>
        <w:rPr>
          <w:rFonts w:hint="eastAsia"/>
          <w:bCs/>
        </w:rPr>
        <w:t>各有关区县（自治县）发展改革委，两江新区经济运行局、重庆高新区改革发展局、万盛经开区发展改革局，有关发债企业</w:t>
      </w:r>
      <w:r>
        <w:rPr>
          <w:bCs/>
        </w:rPr>
        <w:t>：</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bookmarkStart w:id="3" w:name="zw"/>
      <w:bookmarkEnd w:id="3"/>
      <w:r>
        <w:rPr>
          <w:rFonts w:hint="eastAsia"/>
        </w:rPr>
        <w:t>按照《国家发展改革委办公厅关于开展2023年度企业债券本息兑付风险排查和加强存续期管理有关工作的通知》（发改办财金</w:t>
      </w:r>
      <w:r>
        <w:t>〔2022〕967号</w:t>
      </w:r>
      <w:r>
        <w:rPr>
          <w:rFonts w:hint="eastAsia"/>
        </w:rPr>
        <w:t>）要求，为进一步做好我市企业债券本息兑付风险排查和存续期管理有关工作，现就有关事项通知如下</w:t>
      </w:r>
      <w:r>
        <w:t>：</w:t>
      </w:r>
    </w:p>
    <w:p>
      <w:pPr>
        <w:keepNext w:val="0"/>
        <w:keepLines w:val="0"/>
        <w:pageBreakBefore w:val="0"/>
        <w:numPr>
          <w:ilvl w:val="0"/>
          <w:numId w:val="0"/>
        </w:numPr>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eastAsia="方正黑体_GBK"/>
        </w:rPr>
      </w:pPr>
      <w:r>
        <w:rPr>
          <w:rFonts w:eastAsia="方正黑体_GBK"/>
        </w:rPr>
        <w:t>一、充分认识企业债券风险排查</w:t>
      </w:r>
      <w:r>
        <w:rPr>
          <w:rFonts w:hint="eastAsia" w:eastAsia="方正黑体_GBK"/>
        </w:rPr>
        <w:t>和存续期管理</w:t>
      </w:r>
      <w:r>
        <w:rPr>
          <w:rFonts w:eastAsia="方正黑体_GBK"/>
        </w:rPr>
        <w:t>工作的重要性</w:t>
      </w:r>
    </w:p>
    <w:p>
      <w:pPr>
        <w:keepNext w:val="0"/>
        <w:keepLines w:val="0"/>
        <w:pageBreakBefore w:val="0"/>
        <w:numPr>
          <w:ilvl w:val="0"/>
          <w:numId w:val="0"/>
        </w:numPr>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hint="eastAsia"/>
        </w:rPr>
      </w:pPr>
      <w:r>
        <w:t>开展</w:t>
      </w:r>
      <w:r>
        <w:rPr>
          <w:rFonts w:hint="eastAsia"/>
        </w:rPr>
        <w:t>企业债券本息兑付风险排查和存续期管理工作</w:t>
      </w:r>
      <w:r>
        <w:t>，是</w:t>
      </w:r>
      <w:r>
        <w:rPr>
          <w:rFonts w:hint="eastAsia"/>
        </w:rPr>
        <w:t>贯彻落实党的二十大精神、</w:t>
      </w:r>
      <w:r>
        <w:t>发挥企业债券服务实体经济功</w:t>
      </w:r>
      <w:r>
        <w:rPr>
          <w:rFonts w:hint="eastAsia"/>
        </w:rPr>
        <w:t>能、防范化解债券市场相关风险、建立良好的地方金融生态和信用环境的有效举措。各有关区县发展改革部门（含两江新区、重庆高新区、万盛经开区，下同）、发债企业要提高认识，压实责任，保质保量做好2023年度企业债券本息兑付风险排查和存续期管理有关工作。</w:t>
      </w:r>
    </w:p>
    <w:p>
      <w:pPr>
        <w:keepNext w:val="0"/>
        <w:keepLines w:val="0"/>
        <w:pageBreakBefore w:val="0"/>
        <w:numPr>
          <w:ilvl w:val="0"/>
          <w:numId w:val="1"/>
        </w:numPr>
        <w:kinsoku/>
        <w:wordWrap/>
        <w:overflowPunct/>
        <w:topLinePunct w:val="0"/>
        <w:autoSpaceDE/>
        <w:autoSpaceDN/>
        <w:bidi w:val="0"/>
        <w:adjustRightInd/>
        <w:snapToGrid/>
        <w:spacing w:beforeAutospacing="0" w:after="0" w:line="240" w:lineRule="auto"/>
        <w:ind w:leftChars="0" w:right="0" w:rightChars="0" w:firstLine="632" w:firstLineChars="200"/>
        <w:outlineLvl w:val="9"/>
        <w:rPr>
          <w:rFonts w:hint="eastAsia" w:eastAsia="方正黑体_GBK"/>
        </w:rPr>
      </w:pPr>
      <w:r>
        <w:rPr>
          <w:rFonts w:hint="eastAsia" w:eastAsia="方正黑体_GBK"/>
        </w:rPr>
        <w:t>全面系统排查企业债券本息兑付风险</w:t>
      </w:r>
    </w:p>
    <w:p>
      <w:pPr>
        <w:keepNext w:val="0"/>
        <w:keepLines w:val="0"/>
        <w:pageBreakBefore w:val="0"/>
        <w:numPr>
          <w:ilvl w:val="0"/>
          <w:numId w:val="0"/>
        </w:numPr>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rPr>
          <w:rFonts w:hint="eastAsia"/>
        </w:rPr>
        <w:t>请有关区县发展改革部门对辖区内近期以及</w:t>
      </w:r>
      <w:r>
        <w:t>202</w:t>
      </w:r>
      <w:r>
        <w:rPr>
          <w:rFonts w:hint="eastAsia"/>
        </w:rPr>
        <w:t>3年企业债券本息兑付风险开展全量排查</w:t>
      </w:r>
      <w:r>
        <w:t>，</w:t>
      </w:r>
      <w:r>
        <w:rPr>
          <w:rFonts w:hint="eastAsia"/>
        </w:rPr>
        <w:t>提前掌握辖区内企业债券还本付息资金安排和风险状况。对排查后存在偿债风险的企业债券，列为重点关注对象，第一时间组建风险应对工作专班，实行挂牌督战，制定风险防控方案，有关情况要及时报区县政府和我委。</w:t>
      </w:r>
    </w:p>
    <w:p>
      <w:pPr>
        <w:keepNext w:val="0"/>
        <w:keepLines w:val="0"/>
        <w:pageBreakBefore w:val="0"/>
        <w:kinsoku/>
        <w:wordWrap/>
        <w:overflowPunct/>
        <w:topLinePunct w:val="0"/>
        <w:autoSpaceDE/>
        <w:autoSpaceDN/>
        <w:bidi w:val="0"/>
        <w:adjustRightInd/>
        <w:snapToGrid/>
        <w:spacing w:beforeAutospacing="0" w:after="0" w:line="240" w:lineRule="auto"/>
        <w:ind w:leftChars="0" w:right="0" w:rightChars="0" w:firstLine="632" w:firstLineChars="200"/>
        <w:outlineLvl w:val="9"/>
        <w:rPr>
          <w:rFonts w:eastAsia="方正黑体_GBK"/>
        </w:rPr>
      </w:pPr>
      <w:r>
        <w:rPr>
          <w:rFonts w:hint="eastAsia" w:eastAsia="方正黑体_GBK"/>
        </w:rPr>
        <w:t>三、开展存续期企业债券全量检查</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hint="eastAsia"/>
        </w:rPr>
      </w:pPr>
      <w:r>
        <w:rPr>
          <w:rFonts w:hint="eastAsia"/>
        </w:rPr>
        <w:t>请有关区县发展改革部门加强企业债券事中事后监管</w:t>
      </w:r>
      <w:r>
        <w:t>，</w:t>
      </w:r>
      <w:r>
        <w:rPr>
          <w:rFonts w:hint="eastAsia"/>
        </w:rPr>
        <w:t>对辖区内已发行</w:t>
      </w:r>
      <w:r>
        <w:t>、</w:t>
      </w:r>
      <w:r>
        <w:rPr>
          <w:rFonts w:hint="eastAsia"/>
        </w:rPr>
        <w:t>仍处于存续期的全部企业债券组织开展一次全量检查</w:t>
      </w:r>
      <w:r>
        <w:t>。</w:t>
      </w:r>
      <w:r>
        <w:rPr>
          <w:rFonts w:hint="eastAsia"/>
        </w:rPr>
        <w:t>检查应重点包括以下内容</w:t>
      </w:r>
      <w:r>
        <w:t>。</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（一）存续期债券总体情况。包括存续期债券支数及规模、各年度还本付息额、发行人行业及区域分布等情况。</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二）债券募集资金使用情况。包括债券资金是否按要求投入批复文件、注册文件和募集说明书中约定的项目领域，重点排查涉及地方隐性债务情况，如有募集资金投向变更是否按规定履行相关程序，是否存在违规挪用债券资金等问题。</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（三）信息披露情况。包括发行人是否按照《公司信用类债券信息披露管理办法》披露定期报告等情况，以及中介机构协助发行人做好信息披露工作的履职尽责等情况。</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四）发行人资产利润情况。包括发行人是否存在虚增资产、虚增利润等情况。如企业发生或计划进行重大资产重组，要对发行人的重组过程进行监管，分析判断资产重组是否增加债券偿付风险，督促发行人按照合规的程序实施重组并履行相关义务。</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五）募投项目运营效益情况。包括募投项目是否如期开工、实施建设，建设进度是否与募集资金使用进度匹配，项目业已形成的资产或收益权是否按募集说明书约定（如有）办理抵质押手续，已完工募投项目的运营效益情况等。</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（六）对以资产抵押担保的企业债券，检查债券抵押资产后续跟踪评估和信息披露情况。</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（七）对已发行的优质企业债券，要督促相关发行人在规定期限内做好存续期报告编制和信息披露等相关工作。</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hint="eastAsia" w:eastAsia="方正楷体_GBK"/>
        </w:rPr>
      </w:pPr>
      <w:r>
        <w:rPr>
          <w:rFonts w:hint="eastAsia"/>
        </w:rPr>
        <w:t>在检查过程中</w:t>
      </w:r>
      <w:r>
        <w:t>，</w:t>
      </w:r>
      <w:r>
        <w:rPr>
          <w:rFonts w:hint="eastAsia"/>
        </w:rPr>
        <w:t>如发现发行人存在虚增资产、虚增利润、挪用债券资金、新增地方政府隐性债务等违法违规行为</w:t>
      </w:r>
      <w:r>
        <w:t>，</w:t>
      </w:r>
      <w:r>
        <w:rPr>
          <w:rFonts w:hint="eastAsia"/>
        </w:rPr>
        <w:t>请有关区县发展改革部门及时提出整改要求予以规范，并将相关情况报告我委，我委将及时报市政府和国家发展改革委。</w:t>
      </w:r>
    </w:p>
    <w:p>
      <w:pPr>
        <w:keepNext w:val="0"/>
        <w:keepLines w:val="0"/>
        <w:pageBreakBefore w:val="0"/>
        <w:numPr>
          <w:ilvl w:val="0"/>
          <w:numId w:val="2"/>
        </w:numPr>
        <w:kinsoku/>
        <w:wordWrap/>
        <w:overflowPunct/>
        <w:topLinePunct w:val="0"/>
        <w:autoSpaceDE/>
        <w:autoSpaceDN/>
        <w:bidi w:val="0"/>
        <w:adjustRightInd/>
        <w:snapToGrid/>
        <w:spacing w:beforeAutospacing="0" w:after="0" w:line="240" w:lineRule="auto"/>
        <w:ind w:right="0" w:rightChars="0" w:firstLine="632" w:firstLineChars="200"/>
        <w:outlineLvl w:val="9"/>
        <w:rPr>
          <w:rFonts w:hint="eastAsia" w:eastAsia="方正黑体_GBK"/>
        </w:rPr>
      </w:pPr>
      <w:r>
        <w:rPr>
          <w:rFonts w:hint="eastAsia" w:eastAsia="方正黑体_GBK"/>
        </w:rPr>
        <w:t>加强企业债券项目申报和存续期管理</w:t>
      </w:r>
    </w:p>
    <w:p>
      <w:pPr>
        <w:keepNext w:val="0"/>
        <w:keepLines w:val="0"/>
        <w:pageBreakBefore w:val="0"/>
        <w:numPr>
          <w:ilvl w:val="0"/>
          <w:numId w:val="0"/>
        </w:numPr>
        <w:kinsoku/>
        <w:wordWrap/>
        <w:overflowPunct/>
        <w:topLinePunct w:val="0"/>
        <w:autoSpaceDE/>
        <w:autoSpaceDN/>
        <w:bidi w:val="0"/>
        <w:adjustRightInd/>
        <w:snapToGrid/>
        <w:spacing w:beforeAutospacing="0" w:after="0" w:line="240" w:lineRule="auto"/>
        <w:ind w:left="0" w:right="0" w:rightChars="0" w:firstLine="632" w:firstLineChars="200"/>
        <w:outlineLvl w:val="9"/>
        <w:rPr>
          <w:rFonts w:hint="eastAsia" w:eastAsia="方正黑体_GBK"/>
        </w:rPr>
      </w:pPr>
      <w:r>
        <w:rPr>
          <w:rFonts w:hint="eastAsia"/>
        </w:rPr>
        <w:t>请各相关区县发展改革部门持续加强企业债券项目申报和存续期管理，加大对重点领域和薄弱环节的支持力度，提高企业债券服务实体经济的能力和水平</w:t>
      </w:r>
      <w:r>
        <w:t>。</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hint="eastAsia"/>
        </w:rPr>
      </w:pPr>
      <w:r>
        <w:rPr>
          <w:rFonts w:hint="eastAsia" w:ascii="方正楷体_GBK" w:hAnsi="方正楷体_GBK" w:eastAsia="方正楷体_GBK" w:cs="方正楷体_GBK"/>
        </w:rPr>
        <w:t>（一）加强项目申报把关。</w:t>
      </w:r>
      <w:r>
        <w:rPr>
          <w:rFonts w:hint="eastAsia"/>
        </w:rPr>
        <w:t>坚持“资金跟着项目走”的原则，严把申请材料关，深入分析发行人资产利润情况和项目风险情况，重点关注发行人资产真实性和项目收益可行性，充分识别风险。</w:t>
      </w:r>
    </w:p>
    <w:p>
      <w:pPr>
        <w:keepNext w:val="0"/>
        <w:keepLines w:val="0"/>
        <w:pageBreakBefore w:val="0"/>
        <w:numPr>
          <w:ilvl w:val="0"/>
          <w:numId w:val="0"/>
        </w:numPr>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hint="eastAsia"/>
          <w:spacing w:val="6"/>
        </w:rPr>
      </w:pPr>
      <w:r>
        <w:rPr>
          <w:rFonts w:hint="eastAsia" w:ascii="方正楷体_GBK" w:hAnsi="方正楷体_GBK" w:eastAsia="方正楷体_GBK" w:cs="方正楷体_GBK"/>
        </w:rPr>
        <w:t>（二）</w:t>
      </w:r>
      <w:r>
        <w:rPr>
          <w:rFonts w:hint="eastAsia" w:ascii="方正楷体_GBK" w:hAnsi="方正楷体_GBK" w:eastAsia="方正楷体_GBK" w:cs="方正楷体_GBK"/>
          <w:spacing w:val="6"/>
        </w:rPr>
        <w:t>加强中介机构和发行人管理。</w:t>
      </w:r>
      <w:r>
        <w:rPr>
          <w:rFonts w:hint="eastAsia"/>
          <w:spacing w:val="6"/>
        </w:rPr>
        <w:t>对中介机构和发行人在企业债券项目申报和存续期中存在的失信失职行为和不专业行为，各区县发展改革部门应及时向我委反映，我委将向国家发展改革委报告有关情况。</w:t>
      </w:r>
    </w:p>
    <w:p>
      <w:pPr>
        <w:keepNext w:val="0"/>
        <w:keepLines w:val="0"/>
        <w:pageBreakBefore w:val="0"/>
        <w:numPr>
          <w:ilvl w:val="0"/>
          <w:numId w:val="0"/>
        </w:numPr>
        <w:kinsoku/>
        <w:wordWrap/>
        <w:overflowPunct/>
        <w:topLinePunct w:val="0"/>
        <w:autoSpaceDE/>
        <w:autoSpaceDN/>
        <w:bidi w:val="0"/>
        <w:adjustRightInd/>
        <w:snapToGrid/>
        <w:spacing w:beforeAutospacing="0" w:after="0" w:line="240" w:lineRule="auto"/>
        <w:ind w:left="0" w:right="0" w:rightChars="0" w:firstLine="632" w:firstLineChars="200"/>
        <w:outlineLvl w:val="9"/>
        <w:rPr>
          <w:rFonts w:hint="eastAsia"/>
        </w:rPr>
      </w:pPr>
      <w:r>
        <w:rPr>
          <w:rFonts w:hint="eastAsia" w:eastAsia="方正黑体_GBK"/>
        </w:rPr>
        <w:t>五</w:t>
      </w:r>
      <w:r>
        <w:rPr>
          <w:rFonts w:eastAsia="方正黑体_GBK"/>
        </w:rPr>
        <w:t>、</w:t>
      </w:r>
      <w:r>
        <w:rPr>
          <w:rFonts w:hint="eastAsia" w:eastAsia="方正黑体_GBK"/>
        </w:rPr>
        <w:t>工作要求</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t>（</w:t>
      </w:r>
      <w:r>
        <w:rPr>
          <w:rFonts w:hint="eastAsia"/>
        </w:rPr>
        <w:t>一</w:t>
      </w:r>
      <w:r>
        <w:t>）请各相关区县发展改革部门牵头，针对上述各项工作要求逐一落实，汇总形成本辖区内企业债券本息兑付风险</w:t>
      </w:r>
      <w:r>
        <w:rPr>
          <w:rFonts w:hint="eastAsia"/>
        </w:rPr>
        <w:t>和存续期全量</w:t>
      </w:r>
      <w:r>
        <w:t>排查报告，填写《2023年企业债券存续期自查情况表》（附件1），于2022年12月27日前将盖章件及电子版报送我委。并分别于3月20日、6月20日、9月20日前报送《企业债券本息兑付风险季度排查表》（附件2）。</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rPr>
          <w:rFonts w:hint="eastAsia"/>
        </w:rPr>
      </w:pPr>
      <w:r>
        <w:t>（</w:t>
      </w:r>
      <w:r>
        <w:rPr>
          <w:rFonts w:hint="eastAsia"/>
        </w:rPr>
        <w:t>二</w:t>
      </w:r>
      <w:r>
        <w:t>）</w:t>
      </w:r>
      <w:r>
        <w:rPr>
          <w:rFonts w:hint="eastAsia"/>
        </w:rPr>
        <w:t>市属国有企业及民营企业比照上述要求，认真开展企业债券本息兑付风险排查和存续期监管有关工作，在规定时间内提交报告及《</w:t>
      </w:r>
      <w:r>
        <w:t>202</w:t>
      </w:r>
      <w:r>
        <w:rPr>
          <w:rFonts w:hint="eastAsia"/>
        </w:rPr>
        <w:t>3年企业债券存续期自查情况表》，并定期报送《企业债券本息兑付风险季度排查表》。</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outlineLvl w:val="9"/>
      </w:pPr>
      <w:r>
        <w:rPr>
          <w:rFonts w:hint="eastAsia"/>
        </w:rPr>
        <w:t>（三）我委将按照国家发展改革委要求，通过现场核查和自查相结合等方式，对企业债券风险防控开展一次“回头看”，具体安排另行通知。</w:t>
      </w:r>
    </w:p>
    <w:p>
      <w:pPr>
        <w:keepNext w:val="0"/>
        <w:keepLines w:val="0"/>
        <w:pageBreakBefore w:val="0"/>
        <w:tabs>
          <w:tab w:val="left" w:pos="6294"/>
        </w:tabs>
        <w:kinsoku/>
        <w:wordWrap/>
        <w:overflowPunct/>
        <w:topLinePunct w:val="0"/>
        <w:autoSpaceDE/>
        <w:autoSpaceDN/>
        <w:bidi w:val="0"/>
        <w:adjustRightInd/>
        <w:snapToGrid/>
        <w:spacing w:beforeAutospacing="0" w:after="0" w:line="240" w:lineRule="auto"/>
        <w:ind w:right="0"/>
        <w:rPr>
          <w:rFonts w:hint="eastAsia"/>
        </w:rPr>
      </w:pP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firstLine="632" w:firstLineChars="200"/>
        <w:rPr>
          <w:rFonts w:hint="eastAsia"/>
        </w:rPr>
      </w:pPr>
      <w:r>
        <w:rPr>
          <w:rFonts w:hint="eastAsia"/>
        </w:rPr>
        <w:t>附件：</w:t>
      </w:r>
      <w:r>
        <w:t>1</w:t>
      </w:r>
      <w:r>
        <w:rPr>
          <w:rFonts w:hint="eastAsia"/>
        </w:rPr>
        <w:t>．</w:t>
      </w:r>
      <w:r>
        <w:t>202</w:t>
      </w:r>
      <w:r>
        <w:rPr>
          <w:rFonts w:hint="eastAsia"/>
        </w:rPr>
        <w:t>3年企业债券存续期自查情况表</w:t>
      </w:r>
    </w:p>
    <w:p>
      <w:pPr>
        <w:keepNext w:val="0"/>
        <w:keepLines w:val="0"/>
        <w:pageBreakBefore w:val="0"/>
        <w:numPr>
          <w:ilvl w:val="-1"/>
          <w:numId w:val="0"/>
        </w:numPr>
        <w:kinsoku/>
        <w:wordWrap/>
        <w:overflowPunct/>
        <w:topLinePunct w:val="0"/>
        <w:autoSpaceDE/>
        <w:autoSpaceDN/>
        <w:bidi w:val="0"/>
        <w:adjustRightInd/>
        <w:snapToGrid/>
        <w:spacing w:beforeAutospacing="0" w:after="0" w:line="240" w:lineRule="auto"/>
        <w:ind w:left="0" w:right="0" w:rightChars="0" w:firstLine="1580" w:firstLineChars="500"/>
      </w:pPr>
      <w:r>
        <w:rPr>
          <w:rFonts w:hint="eastAsia"/>
          <w:lang w:val="en-US" w:eastAsia="zh-CN"/>
        </w:rPr>
        <w:t>2</w:t>
      </w:r>
      <w:r>
        <w:rPr>
          <w:rFonts w:hint="eastAsia"/>
        </w:rPr>
        <w:t>．企业债券本息兑付风险季度排查表</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pPr>
    </w:p>
    <w:p>
      <w:pPr>
        <w:keepNext w:val="0"/>
        <w:keepLines w:val="0"/>
        <w:pageBreakBefore w:val="0"/>
        <w:kinsoku/>
        <w:wordWrap/>
        <w:overflowPunct/>
        <w:topLinePunct w:val="0"/>
        <w:autoSpaceDE/>
        <w:autoSpaceDN/>
        <w:bidi w:val="0"/>
        <w:adjustRightInd/>
        <w:snapToGrid/>
        <w:spacing w:beforeAutospacing="0" w:after="0" w:line="240" w:lineRule="auto"/>
        <w:ind w:right="0"/>
        <w:rPr>
          <w:rFonts w:hint="eastAsia"/>
        </w:rPr>
      </w:pPr>
    </w:p>
    <w:p>
      <w:pPr>
        <w:keepNext w:val="0"/>
        <w:keepLines w:val="0"/>
        <w:pageBreakBefore w:val="0"/>
        <w:kinsoku/>
        <w:wordWrap/>
        <w:overflowPunct/>
        <w:topLinePunct w:val="0"/>
        <w:autoSpaceDE/>
        <w:autoSpaceDN/>
        <w:bidi w:val="0"/>
        <w:adjustRightInd/>
        <w:snapToGrid/>
        <w:spacing w:beforeAutospacing="0" w:after="0" w:line="240" w:lineRule="auto"/>
        <w:ind w:right="0"/>
      </w:pP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firstLine="4560" w:firstLineChars="1443"/>
      </w:pPr>
      <w:r>
        <w:rPr>
          <w:rFonts w:hint="eastAsia"/>
        </w:rPr>
        <w:t>重庆市发展和改革委员会</w:t>
      </w:r>
    </w:p>
    <w:p>
      <w:pPr>
        <w:keepNext w:val="0"/>
        <w:keepLines w:val="0"/>
        <w:pageBreakBefore w:val="0"/>
        <w:kinsoku/>
        <w:wordWrap/>
        <w:overflowPunct/>
        <w:topLinePunct w:val="0"/>
        <w:autoSpaceDE/>
        <w:autoSpaceDN/>
        <w:bidi w:val="0"/>
        <w:adjustRightInd/>
        <w:snapToGrid/>
        <w:spacing w:beforeAutospacing="0" w:after="0" w:line="240" w:lineRule="auto"/>
        <w:ind w:right="0"/>
      </w:pPr>
      <w:r>
        <w:rPr>
          <w:rFonts w:hint="eastAsia"/>
        </w:rPr>
        <w:t xml:space="preserve">                                </w:t>
      </w:r>
      <w:r>
        <w:t>20</w:t>
      </w:r>
      <w:r>
        <w:rPr>
          <w:rFonts w:hint="eastAsia"/>
        </w:rPr>
        <w:t>22年12月</w:t>
      </w:r>
      <w:r>
        <w:rPr>
          <w:rFonts w:hint="eastAsia"/>
          <w:lang w:val="en-US" w:eastAsia="zh-CN"/>
        </w:rPr>
        <w:t>15</w:t>
      </w:r>
      <w:r>
        <w:rPr>
          <w:rFonts w:hint="eastAsia"/>
        </w:rPr>
        <w:t xml:space="preserve">日        </w:t>
      </w:r>
    </w:p>
    <w:p>
      <w:pPr>
        <w:keepNext w:val="0"/>
        <w:keepLines w:val="0"/>
        <w:pageBreakBefore w:val="0"/>
        <w:kinsoku/>
        <w:wordWrap/>
        <w:overflowPunct/>
        <w:topLinePunct w:val="0"/>
        <w:autoSpaceDE/>
        <w:autoSpaceDN/>
        <w:bidi w:val="0"/>
        <w:adjustRightInd/>
        <w:snapToGrid/>
        <w:spacing w:beforeAutospacing="0" w:after="0" w:line="240" w:lineRule="auto"/>
        <w:ind w:right="0" w:firstLine="632" w:firstLineChars="200"/>
      </w:pPr>
      <w:r>
        <w:rPr>
          <w:rFonts w:hint="eastAsia"/>
        </w:rPr>
        <w:t>（</w:t>
      </w:r>
      <w:r>
        <w:rPr>
          <w:rFonts w:hint="eastAsia"/>
          <w:spacing w:val="-6"/>
        </w:rPr>
        <w:t>联系人：王革，联系电话：</w:t>
      </w:r>
      <w:r>
        <w:rPr>
          <w:spacing w:val="-6"/>
        </w:rPr>
        <w:t>67575</w:t>
      </w:r>
      <w:r>
        <w:rPr>
          <w:rFonts w:hint="eastAsia"/>
          <w:spacing w:val="-6"/>
        </w:rPr>
        <w:t>653、18580024183，邮箱：</w:t>
      </w:r>
      <w:r>
        <w:rPr>
          <w:spacing w:val="-6"/>
        </w:rPr>
        <w:t>cqfgwzjc@126.com</w:t>
      </w:r>
      <w:r>
        <w:rPr>
          <w:rFonts w:hint="eastAsia"/>
          <w:spacing w:val="-6"/>
        </w:rPr>
        <w:t>）</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80" w:charSpace="-849"/>
        </w:sectPr>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adjustRightInd/>
        <w:spacing w:line="240" w:lineRule="auto"/>
        <w:rPr>
          <w:sz w:val="28"/>
          <w:szCs w:val="28"/>
        </w:rPr>
      </w:pPr>
    </w:p>
    <w:p>
      <w:pPr>
        <w:pBdr>
          <w:bottom w:val="none" w:color="auto" w:sz="0" w:space="0"/>
        </w:pBdr>
        <w:adjustRightInd/>
        <w:spacing w:line="460" w:lineRule="exact"/>
        <w:rPr>
          <w:sz w:val="28"/>
          <w:szCs w:val="28"/>
        </w:rPr>
      </w:pPr>
    </w:p>
    <w:p>
      <w:pPr>
        <w:pBdr>
          <w:top w:val="single" w:color="auto" w:sz="12" w:space="0"/>
          <w:bottom w:val="single" w:color="auto" w:sz="12" w:space="0"/>
        </w:pBdr>
        <w:adjustRightInd/>
        <w:spacing w:line="240" w:lineRule="auto"/>
        <w:rPr>
          <w:rFonts w:hint="default"/>
          <w:sz w:val="28"/>
          <w:szCs w:val="28"/>
          <w:lang w:val="en-US" w:eastAsia="zh-CN"/>
        </w:rPr>
      </w:pPr>
      <w:r>
        <w:rPr>
          <w:rFonts w:hint="eastAsia"/>
          <w:sz w:val="28"/>
          <w:szCs w:val="28"/>
          <w:lang w:val="en-US" w:eastAsia="zh-CN"/>
        </w:rPr>
        <w:t xml:space="preserve">  </w:t>
      </w:r>
    </w:p>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F7F99"/>
    <w:multiLevelType w:val="singleLevel"/>
    <w:tmpl w:val="FC7F7F99"/>
    <w:lvl w:ilvl="0" w:tentative="0">
      <w:start w:val="2"/>
      <w:numFmt w:val="chineseCounting"/>
      <w:suff w:val="nothing"/>
      <w:lvlText w:val="%1、"/>
      <w:lvlJc w:val="left"/>
      <w:rPr>
        <w:rFonts w:hint="eastAsia"/>
      </w:rPr>
    </w:lvl>
  </w:abstractNum>
  <w:abstractNum w:abstractNumId="1">
    <w:nsid w:val="61D4FE05"/>
    <w:multiLevelType w:val="singleLevel"/>
    <w:tmpl w:val="61D4FE05"/>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0"/>
  <w:displayVerticalDrawingGridEvery w:val="2"/>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7B65BD"/>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23539A9"/>
    <w:rsid w:val="359D56FF"/>
    <w:rsid w:val="35EF5E14"/>
    <w:rsid w:val="37083883"/>
    <w:rsid w:val="38146403"/>
    <w:rsid w:val="38B97D28"/>
    <w:rsid w:val="3A1F5203"/>
    <w:rsid w:val="3D584BA2"/>
    <w:rsid w:val="402E288B"/>
    <w:rsid w:val="417E794A"/>
    <w:rsid w:val="453862F3"/>
    <w:rsid w:val="45E47B16"/>
    <w:rsid w:val="47651902"/>
    <w:rsid w:val="477B47A9"/>
    <w:rsid w:val="4A30398A"/>
    <w:rsid w:val="4A9F4CF0"/>
    <w:rsid w:val="4AC07792"/>
    <w:rsid w:val="4CE7092E"/>
    <w:rsid w:val="4E252DB9"/>
    <w:rsid w:val="5073301F"/>
    <w:rsid w:val="545424E6"/>
    <w:rsid w:val="54E47F11"/>
    <w:rsid w:val="55835057"/>
    <w:rsid w:val="57DB6B64"/>
    <w:rsid w:val="5BC50A62"/>
    <w:rsid w:val="5E6922ED"/>
    <w:rsid w:val="60050F24"/>
    <w:rsid w:val="61561366"/>
    <w:rsid w:val="6383212C"/>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11</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2022-12-15T06:09:00Z</cp:lastPrinted>
  <dcterms:modified xsi:type="dcterms:W3CDTF">2022-12-16T03:14:45Z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