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重点任务分工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473"/>
        <w:gridCol w:w="289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4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3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重点任务</w:t>
            </w:r>
          </w:p>
        </w:tc>
        <w:tc>
          <w:tcPr>
            <w:tcW w:w="169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80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“十四五”时期，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全市新建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改扩建体育公园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101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市发展改革委、市体育局、市城市管理局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2025年底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有条件的郊野公园、城市公园中，可适当提高公园内铺装面积比例，用于配建一定比例的健身设施。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市城市管理局、市林业局、市体育局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支持利用山地森林、河流峡谷、草地荒漠等地貌建设特色体育公园。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市体育局、市水利局、市林业局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政府投资新建的体育公园，鼓励委托第三方运营管理，向公众免费或低收费开放。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有关区县（自治县）、两江新区管委会、重庆高新区管委会、万盛经开区管委会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支持企业和社会组织参与体育公园建设运营，灵活采取多种运营方式，提高经营效率。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市城市管理局、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有关区县（自治县）、两江新区管委会、重庆高新区管委会、万盛经开区管委会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保障土地供应。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市规划自然资源局、市林业局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lang w:val="en-US" w:eastAsia="zh-CN"/>
              </w:rPr>
              <w:t>依据国土空间规划，将体育公园相关建设用地纳入相关专项规划和年度用地计划，合理安排用地需求。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市体育局、市规划自然资源局、市林业局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支持充分利用山、水、林、田、湖、草等自然资源，合法合规建设体育公园。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市体育局、市水利局、市林业局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完善利用公共绿地、闲置空间、城市“金角银边”等场所建设健身设施的政策，优化建设临时性体育场地设施的审批许可手续。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市体育局、市城市管理局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积极争取中央预算内投资，对符合条件的体育公园建设项目予以支持。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市发展改革委、市体育局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体育彩票公益金支持体育公园购置健身设施设备，对验收合格的体育公园给予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一次性市级资金补助。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鼓励通过多渠道筹集资金建设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社区体育文化公园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，符合条件的可纳入城市体育公园支持范围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市城市管理局、市体育局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适时组织项目资金对接活动，农发行市分行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在贷款利率、贷款期限、贷款方式上予以优惠支持，优先满足信贷规模，优先安排投放。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市发展改革委、市体育局、农发行市分行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合理制定“十四五”时期各区县体育公园建设目标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市发展改革委、市体育局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不定期对各地体育公园建设情况进行监督检查和跟踪分析，按期调度进展情况，确保各项任务落到实处，见到实效。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市发展改革委、市体育局、市水利局、市农业农村委、市林业局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3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适时开展体育公园建设典型案例评选，强化典型示范效应。</w:t>
            </w:r>
          </w:p>
        </w:tc>
        <w:tc>
          <w:tcPr>
            <w:tcW w:w="1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市体育局、市发展改革委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2022年底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7F44"/>
    <w:rsid w:val="132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2022-08-12T09:39:00Z</dcterms:created>
  <dc:creator>周卒</dc:creator>
  <cp:lastModifiedBy>周卒</cp:lastModifiedBy>
  <dcterms:modified xsi:type="dcterms:W3CDTF">2022-08-12T09:40:22Z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