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line="240" w:lineRule="auto"/>
        <w:rPr>
          <w:rFonts w:ascii="Times New Roman" w:hAnsi="Times New Roman" w:cs="方正仿宋_GBK"/>
          <w:bCs/>
        </w:rPr>
      </w:pPr>
    </w:p>
    <w:p>
      <w:pPr>
        <w:adjustRightInd/>
        <w:spacing w:line="240" w:lineRule="auto"/>
        <w:rPr>
          <w:bCs/>
        </w:rPr>
      </w:pPr>
    </w:p>
    <w:p>
      <w:pPr>
        <w:adjustRightInd/>
        <w:spacing w:line="240" w:lineRule="auto"/>
        <w:rPr>
          <w:bCs/>
        </w:rPr>
      </w:pPr>
    </w:p>
    <w:p>
      <w:pPr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rFonts w:eastAsia="宋体"/>
          <w:kern w:val="2"/>
        </w:rPr>
      </w:pPr>
    </w:p>
    <w:p>
      <w:pPr>
        <w:adjustRightInd/>
        <w:spacing w:line="240" w:lineRule="auto"/>
        <w:jc w:val="center"/>
        <w:rPr>
          <w:rFonts w:hint="eastAsia" w:cs="方正仿宋_GBK"/>
          <w:bCs/>
        </w:rPr>
      </w:pPr>
      <w:r>
        <w:rPr>
          <w:rFonts w:hint="eastAsia" w:eastAsia="方正仿宋_GBK" w:cs="方正仿宋_GBK"/>
          <w:vanish w:val="0"/>
          <w:kern w:val="2"/>
        </w:rPr>
        <w:t>渝发改外资〔2022〕592号</w:t>
      </w:r>
    </w:p>
    <w:p>
      <w:pPr>
        <w:adjustRightInd/>
        <w:spacing w:line="240" w:lineRule="auto"/>
        <w:jc w:val="center"/>
        <w:rPr>
          <w:bCs/>
        </w:rPr>
      </w:pPr>
    </w:p>
    <w:p>
      <w:pPr>
        <w:adjustRightInd/>
        <w:spacing w:after="0" w:line="240" w:lineRule="auto"/>
        <w:jc w:val="center"/>
        <w:rPr>
          <w:rFonts w:hint="eastAsia" w:eastAsia="方正小标宋_GBK"/>
          <w:bCs/>
          <w:color w:val="010000"/>
          <w:spacing w:val="-6"/>
          <w:sz w:val="44"/>
        </w:rPr>
      </w:pPr>
      <w:bookmarkStart w:id="0" w:name="正文"/>
      <w:bookmarkEnd w:id="0"/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adjustRightInd/>
              <w:spacing w:after="0" w:line="580" w:lineRule="exact"/>
              <w:jc w:val="distribute"/>
              <w:rPr>
                <w:rFonts w:hint="eastAsia" w:eastAsia="方正小标宋_GBK"/>
                <w:bCs/>
                <w:color w:val="010000"/>
                <w:spacing w:val="-6"/>
                <w:sz w:val="44"/>
                <w:vertAlign w:val="baseline"/>
              </w:rPr>
            </w:pPr>
            <w:r>
              <w:rPr>
                <w:rFonts w:hint="eastAsia" w:eastAsia="方正小标宋_GBK"/>
                <w:bCs/>
                <w:color w:val="010000"/>
                <w:spacing w:val="-6"/>
                <w:sz w:val="44"/>
              </w:rPr>
              <w:t>重庆市发展和改革委员会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adjustRightInd/>
              <w:spacing w:after="0" w:line="580" w:lineRule="exact"/>
              <w:jc w:val="distribute"/>
              <w:rPr>
                <w:rFonts w:hint="eastAsia" w:eastAsia="方正小标宋_GBK"/>
                <w:bCs/>
                <w:color w:val="010000"/>
                <w:spacing w:val="-6"/>
                <w:sz w:val="44"/>
                <w:vertAlign w:val="baseline"/>
              </w:rPr>
            </w:pPr>
            <w:r>
              <w:rPr>
                <w:rFonts w:hint="eastAsia" w:eastAsia="方正小标宋_GBK"/>
                <w:bCs/>
                <w:color w:val="010000"/>
                <w:spacing w:val="-6"/>
                <w:sz w:val="44"/>
              </w:rPr>
              <w:t>重庆市财政局</w:t>
            </w:r>
          </w:p>
        </w:tc>
      </w:tr>
    </w:tbl>
    <w:p>
      <w:pPr>
        <w:adjustRightInd/>
        <w:spacing w:after="0" w:line="580" w:lineRule="exact"/>
        <w:jc w:val="center"/>
        <w:rPr>
          <w:rFonts w:eastAsia="方正小标宋_GBK"/>
          <w:bCs/>
          <w:color w:val="010000"/>
          <w:spacing w:val="-6"/>
          <w:sz w:val="44"/>
        </w:rPr>
      </w:pPr>
      <w:bookmarkStart w:id="1" w:name="_GoBack"/>
      <w:r>
        <w:rPr>
          <w:rFonts w:eastAsia="方正小标宋_GBK"/>
          <w:bCs/>
          <w:color w:val="010000"/>
          <w:spacing w:val="-6"/>
          <w:sz w:val="44"/>
        </w:rPr>
        <w:t>关于开展新开发银行、国际农业发展基金贷款</w:t>
      </w:r>
    </w:p>
    <w:p>
      <w:pPr>
        <w:adjustRightInd/>
        <w:spacing w:after="0" w:line="580" w:lineRule="exact"/>
        <w:jc w:val="center"/>
        <w:rPr>
          <w:rFonts w:eastAsia="方正小标宋_GBK"/>
          <w:bCs/>
          <w:spacing w:val="-6"/>
          <w:sz w:val="44"/>
        </w:rPr>
      </w:pPr>
      <w:r>
        <w:rPr>
          <w:rFonts w:eastAsia="方正小标宋_GBK"/>
          <w:bCs/>
          <w:color w:val="010000"/>
          <w:spacing w:val="-6"/>
          <w:sz w:val="44"/>
        </w:rPr>
        <w:t>新一期规划备选项目申报工作的通知</w:t>
      </w:r>
    </w:p>
    <w:bookmarkEnd w:id="1"/>
    <w:p>
      <w:pPr>
        <w:adjustRightInd/>
        <w:spacing w:after="0" w:line="240" w:lineRule="auto"/>
      </w:pPr>
    </w:p>
    <w:p>
      <w:pPr>
        <w:adjustRightInd/>
        <w:spacing w:after="0" w:line="240" w:lineRule="auto"/>
        <w:rPr>
          <w:bCs/>
        </w:rPr>
      </w:pPr>
      <w:r>
        <w:rPr>
          <w:rFonts w:hint="eastAsia"/>
          <w:lang w:eastAsia="zh-CN"/>
        </w:rPr>
        <w:t>市级有关部门，</w:t>
      </w:r>
      <w:r>
        <w:t>各区县（自治县）发展改革委、财政局，</w:t>
      </w:r>
      <w:r>
        <w:rPr>
          <w:bCs/>
        </w:rPr>
        <w:t>两江新区经济运行局、财政局，</w:t>
      </w:r>
      <w:r>
        <w:rPr>
          <w:rFonts w:hint="eastAsia"/>
          <w:bCs/>
        </w:rPr>
        <w:t>西部科学城</w:t>
      </w:r>
      <w:r>
        <w:rPr>
          <w:bCs/>
        </w:rPr>
        <w:t>重庆高新区改革发展局、财政局，万盛经开区发展改革局、财政局：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textAlignment w:val="auto"/>
        <w:outlineLvl w:val="9"/>
        <w:rPr>
          <w:bCs/>
        </w:rPr>
      </w:pPr>
      <w:r>
        <w:rPr>
          <w:rFonts w:hint="eastAsia"/>
          <w:bCs/>
          <w:lang w:val="en-US" w:eastAsia="zh-CN"/>
        </w:rPr>
        <w:t>按照</w:t>
      </w:r>
      <w:r>
        <w:rPr>
          <w:bCs/>
        </w:rPr>
        <w:t>国家发展改革委</w:t>
      </w:r>
      <w:r>
        <w:rPr>
          <w:rFonts w:hint="eastAsia"/>
          <w:bCs/>
        </w:rPr>
        <w:t>办公厅</w:t>
      </w:r>
      <w:r>
        <w:rPr>
          <w:bCs/>
        </w:rPr>
        <w:t>、财政部</w:t>
      </w:r>
      <w:r>
        <w:rPr>
          <w:rFonts w:hint="eastAsia"/>
          <w:bCs/>
        </w:rPr>
        <w:t>办公厅</w:t>
      </w:r>
      <w:r>
        <w:rPr>
          <w:bCs/>
        </w:rPr>
        <w:t>《关于开展新开发银行、国际农业发展基金贷款新一期规划备选项目申报工作的通知》（发改外资〔202</w:t>
      </w:r>
      <w:r>
        <w:rPr>
          <w:rFonts w:hint="eastAsia"/>
          <w:bCs/>
        </w:rPr>
        <w:t>2</w:t>
      </w:r>
      <w:r>
        <w:rPr>
          <w:bCs/>
        </w:rPr>
        <w:t>〕</w:t>
      </w:r>
      <w:r>
        <w:rPr>
          <w:rFonts w:hint="eastAsia"/>
          <w:bCs/>
        </w:rPr>
        <w:t>348</w:t>
      </w:r>
      <w:r>
        <w:rPr>
          <w:bCs/>
        </w:rPr>
        <w:t>号）</w:t>
      </w:r>
      <w:r>
        <w:rPr>
          <w:rFonts w:hint="eastAsia"/>
          <w:bCs/>
          <w:lang w:eastAsia="zh-CN"/>
        </w:rPr>
        <w:t>要求</w:t>
      </w:r>
      <w:r>
        <w:rPr>
          <w:bCs/>
        </w:rPr>
        <w:t>，</w:t>
      </w:r>
      <w:r>
        <w:rPr>
          <w:rFonts w:hint="eastAsia"/>
          <w:bCs/>
        </w:rPr>
        <w:t>请你们</w:t>
      </w:r>
      <w:r>
        <w:rPr>
          <w:rFonts w:hint="eastAsia"/>
          <w:bCs/>
          <w:lang w:eastAsia="zh-CN"/>
        </w:rPr>
        <w:t>抓紧</w:t>
      </w:r>
      <w:r>
        <w:rPr>
          <w:rFonts w:hint="eastAsia"/>
          <w:bCs/>
        </w:rPr>
        <w:t>组织</w:t>
      </w:r>
      <w:r>
        <w:rPr>
          <w:bCs/>
        </w:rPr>
        <w:t>规划备选项目申报工作。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textAlignment w:val="auto"/>
        <w:outlineLvl w:val="9"/>
        <w:rPr>
          <w:bCs/>
        </w:rPr>
      </w:pPr>
      <w:r>
        <w:rPr>
          <w:rFonts w:eastAsia="方正黑体_GBK"/>
          <w:bCs/>
        </w:rPr>
        <w:t>一、高度重视申报工作。</w:t>
      </w:r>
      <w:r>
        <w:rPr>
          <w:bCs/>
        </w:rPr>
        <w:t>新开发银行、国际农业发展基金贷款备选项目要</w:t>
      </w:r>
      <w:r>
        <w:rPr>
          <w:rFonts w:hint="eastAsia"/>
          <w:bCs/>
        </w:rPr>
        <w:t>坚持</w:t>
      </w:r>
      <w:r>
        <w:rPr>
          <w:bCs/>
        </w:rPr>
        <w:t>以习近平新时代中国特色社会主义思想为指导，全面贯彻党的十九大和十九届</w:t>
      </w:r>
      <w:r>
        <w:rPr>
          <w:rFonts w:hint="eastAsia"/>
          <w:bCs/>
        </w:rPr>
        <w:t>历次</w:t>
      </w:r>
      <w:r>
        <w:rPr>
          <w:bCs/>
        </w:rPr>
        <w:t>全会精神，</w:t>
      </w:r>
      <w:r>
        <w:rPr>
          <w:rFonts w:hint="eastAsia"/>
          <w:bCs/>
        </w:rPr>
        <w:t>紧紧围绕“</w:t>
      </w:r>
      <w:r>
        <w:rPr>
          <w:bCs/>
        </w:rPr>
        <w:t>十四五</w:t>
      </w:r>
      <w:r>
        <w:rPr>
          <w:rFonts w:hint="eastAsia"/>
          <w:bCs/>
        </w:rPr>
        <w:t>”</w:t>
      </w:r>
      <w:r>
        <w:rPr>
          <w:bCs/>
        </w:rPr>
        <w:t>规划以及市委、市政府有关决策部署，贯彻新发展理念，统筹推动改革发展，聚焦本</w:t>
      </w:r>
      <w:r>
        <w:rPr>
          <w:rFonts w:hint="eastAsia"/>
          <w:bCs/>
        </w:rPr>
        <w:t>地区、</w:t>
      </w:r>
      <w:r>
        <w:rPr>
          <w:bCs/>
        </w:rPr>
        <w:t>单位资金需求最迫切的领域，突出项目在体制机制方面的创新性和示范性。</w:t>
      </w:r>
    </w:p>
    <w:p>
      <w:pPr>
        <w:overflowPunct w:val="0"/>
        <w:adjustRightInd/>
        <w:spacing w:after="0" w:line="240" w:lineRule="auto"/>
        <w:ind w:firstLine="632" w:firstLineChars="200"/>
        <w:rPr>
          <w:spacing w:val="-6"/>
        </w:rPr>
      </w:pPr>
      <w:r>
        <w:rPr>
          <w:rFonts w:eastAsia="方正黑体_GBK"/>
          <w:bCs/>
        </w:rPr>
        <w:t>二、认真组织申报工作。</w:t>
      </w:r>
      <w:r>
        <w:rPr>
          <w:bCs/>
        </w:rPr>
        <w:t>各单位在申报过程中，要充分征求相关行业主管部门意见，</w:t>
      </w:r>
      <w:r>
        <w:rPr>
          <w:rFonts w:hint="eastAsia"/>
          <w:bCs/>
        </w:rPr>
        <w:t>围绕新开发银行、农发基金</w:t>
      </w:r>
      <w:r>
        <w:rPr>
          <w:bCs/>
        </w:rPr>
        <w:t>重点</w:t>
      </w:r>
      <w:r>
        <w:rPr>
          <w:rFonts w:hint="eastAsia"/>
          <w:bCs/>
        </w:rPr>
        <w:t>支持领域，加强组织领导、</w:t>
      </w:r>
      <w:r>
        <w:rPr>
          <w:bCs/>
        </w:rPr>
        <w:t>精心策划</w:t>
      </w:r>
      <w:r>
        <w:rPr>
          <w:rFonts w:hint="eastAsia"/>
          <w:bCs/>
        </w:rPr>
        <w:t>储备，</w:t>
      </w:r>
      <w:r>
        <w:rPr>
          <w:bCs/>
        </w:rPr>
        <w:t>认真筛选备选项目。要</w:t>
      </w:r>
      <w:r>
        <w:rPr>
          <w:spacing w:val="-6"/>
        </w:rPr>
        <w:t>严格审核债务风险，落实配套资金来源，明确项目实施单位和贷款偿还担保责任，债务高风险区县不得申报。</w:t>
      </w:r>
    </w:p>
    <w:p>
      <w:pPr>
        <w:overflowPunct w:val="0"/>
        <w:adjustRightInd/>
        <w:spacing w:after="0" w:line="240" w:lineRule="auto"/>
        <w:ind w:firstLine="632" w:firstLineChars="200"/>
      </w:pPr>
      <w:r>
        <w:rPr>
          <w:rFonts w:eastAsia="方正黑体_GBK"/>
        </w:rPr>
        <w:t>三、</w:t>
      </w:r>
      <w:r>
        <w:rPr>
          <w:rFonts w:hint="eastAsia" w:eastAsia="方正黑体_GBK"/>
        </w:rPr>
        <w:t>规范</w:t>
      </w:r>
      <w:r>
        <w:rPr>
          <w:rFonts w:eastAsia="方正黑体_GBK"/>
        </w:rPr>
        <w:t>准备申报材料。</w:t>
      </w:r>
      <w:r>
        <w:rPr>
          <w:rFonts w:hint="eastAsia"/>
          <w:spacing w:val="-6"/>
        </w:rPr>
        <w:t>项目申请单位和实施单位应对借用贷款具有较好的积极性和主动性，可保障项目顺利实施。新开发银行贷款项目申请材料应基本达到可行性研究报告深度，农发基金贷款项目申请材料应基本达到项目建议书深度。</w:t>
      </w:r>
      <w:r>
        <w:rPr>
          <w:rFonts w:hint="eastAsia"/>
        </w:rPr>
        <w:t>各单位分别申报新开发银行、农发基金贷款备选项目不超过1个，我们将会同市相关行业主管部门择优推荐申报。</w:t>
      </w:r>
    </w:p>
    <w:p>
      <w:pPr>
        <w:overflowPunct w:val="0"/>
        <w:adjustRightInd/>
        <w:spacing w:after="0" w:line="240" w:lineRule="auto"/>
        <w:ind w:firstLine="632" w:firstLineChars="200"/>
      </w:pPr>
      <w:r>
        <w:t>请各单位结合实际情况并按照上述申报要求，于202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  <w:lang w:val="en-US" w:eastAsia="zh-CN"/>
        </w:rPr>
        <w:t>1</w:t>
      </w:r>
      <w:r>
        <w:t>日前将备选项目申请材料</w:t>
      </w:r>
      <w:r>
        <w:rPr>
          <w:rFonts w:hint="eastAsia"/>
        </w:rPr>
        <w:t>（</w:t>
      </w:r>
      <w:r>
        <w:rPr>
          <w:rFonts w:hint="eastAsia"/>
          <w:lang w:eastAsia="zh-CN"/>
        </w:rPr>
        <w:t>正式报告、项目建议书、还款承诺函，</w:t>
      </w:r>
      <w:r>
        <w:rPr>
          <w:rFonts w:hint="eastAsia"/>
        </w:rPr>
        <w:t>一式三份）</w:t>
      </w:r>
      <w:r>
        <w:t>以发展改革委、财政局联合报送至市发展改革委（外资处）、市财政局（债务处）。</w:t>
      </w:r>
    </w:p>
    <w:p>
      <w:pPr>
        <w:adjustRightInd/>
        <w:spacing w:after="0" w:line="240" w:lineRule="auto"/>
        <w:rPr>
          <w:rFonts w:ascii="Times New Roman" w:hAnsi="Times New Roman"/>
          <w:bCs/>
        </w:rPr>
      </w:pPr>
    </w:p>
    <w:p>
      <w:pPr>
        <w:adjustRightInd/>
        <w:spacing w:after="0" w:line="240" w:lineRule="auto"/>
        <w:rPr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316" w:firstLineChars="100"/>
        <w:textAlignment w:val="auto"/>
        <w:outlineLvl w:val="9"/>
        <w:rPr>
          <w:bCs/>
        </w:rPr>
      </w:pPr>
      <w:r>
        <w:rPr>
          <w:bCs/>
        </w:rPr>
        <w:t xml:space="preserve">重庆市发展和改革委员会        </w:t>
      </w:r>
      <w:r>
        <w:rPr>
          <w:rFonts w:hint="eastAsia"/>
          <w:bCs/>
          <w:lang w:val="en-US" w:eastAsia="zh-CN"/>
        </w:rPr>
        <w:t xml:space="preserve">    </w:t>
      </w:r>
      <w:r>
        <w:rPr>
          <w:bCs/>
        </w:rPr>
        <w:t xml:space="preserve"> 重庆市财政局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88" w:firstLineChars="1800"/>
        <w:textAlignment w:val="auto"/>
        <w:outlineLvl w:val="9"/>
        <w:rPr>
          <w:rFonts w:hint="default" w:eastAsia="方正仿宋_GBK"/>
          <w:bCs/>
          <w:lang w:val="en-US" w:eastAsia="zh-CN"/>
        </w:rPr>
      </w:pPr>
      <w:r>
        <w:rPr>
          <w:bCs/>
        </w:rPr>
        <w:t>202</w:t>
      </w:r>
      <w:r>
        <w:rPr>
          <w:rFonts w:hint="eastAsia"/>
          <w:bCs/>
        </w:rPr>
        <w:t>2</w:t>
      </w:r>
      <w:r>
        <w:rPr>
          <w:bCs/>
        </w:rPr>
        <w:t>年</w:t>
      </w:r>
      <w:r>
        <w:rPr>
          <w:rFonts w:hint="eastAsia"/>
          <w:bCs/>
        </w:rPr>
        <w:t>5</w:t>
      </w:r>
      <w:r>
        <w:rPr>
          <w:bCs/>
        </w:rPr>
        <w:t>月</w:t>
      </w:r>
      <w:r>
        <w:rPr>
          <w:rFonts w:hint="eastAsia"/>
          <w:bCs/>
          <w:lang w:val="en-US" w:eastAsia="zh-CN"/>
        </w:rPr>
        <w:t>13</w:t>
      </w:r>
      <w:r>
        <w:rPr>
          <w:bCs/>
        </w:rPr>
        <w:t>日</w:t>
      </w:r>
      <w:r>
        <w:rPr>
          <w:rFonts w:hint="eastAsia"/>
          <w:bCs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textAlignment w:val="auto"/>
        <w:outlineLvl w:val="9"/>
        <w:rPr>
          <w:bCs/>
        </w:rPr>
      </w:pPr>
    </w:p>
    <w:p>
      <w:pPr>
        <w:adjustRightInd/>
        <w:spacing w:line="240" w:lineRule="auto"/>
        <w:ind w:right="0" w:rightChars="0"/>
      </w:pPr>
    </w:p>
    <w:p>
      <w:pPr>
        <w:adjustRightInd/>
        <w:spacing w:line="240" w:lineRule="auto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adjustRightInd/>
        <w:spacing w:line="240" w:lineRule="auto"/>
      </w:pPr>
    </w:p>
    <w:p>
      <w:pPr>
        <w:pBdr>
          <w:bottom w:val="none" w:color="auto" w:sz="0" w:space="0"/>
        </w:pBdr>
        <w:adjustRightInd/>
        <w:spacing w:line="500" w:lineRule="exact"/>
      </w:pPr>
    </w:p>
    <w:p>
      <w:pPr>
        <w:pBdr>
          <w:top w:val="single" w:color="auto" w:sz="12" w:space="0"/>
          <w:bottom w:val="single" w:color="auto" w:sz="12" w:space="0"/>
        </w:pBdr>
        <w:adjustRightInd/>
        <w:spacing w:line="240" w:lineRule="auto"/>
        <w:ind w:firstLine="316" w:firstLineChars="100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17" w:gutter="0"/>
      <w:pgNumType w:fmt="decimal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B24F9"/>
    <w:rsid w:val="000B4A22"/>
    <w:rsid w:val="000C0BF7"/>
    <w:rsid w:val="000C2FB2"/>
    <w:rsid w:val="000C6B28"/>
    <w:rsid w:val="000F25BF"/>
    <w:rsid w:val="001005AC"/>
    <w:rsid w:val="001024AA"/>
    <w:rsid w:val="001056AD"/>
    <w:rsid w:val="00182501"/>
    <w:rsid w:val="00185691"/>
    <w:rsid w:val="001B58F6"/>
    <w:rsid w:val="001D3042"/>
    <w:rsid w:val="001E64D7"/>
    <w:rsid w:val="001F7BBB"/>
    <w:rsid w:val="002466FA"/>
    <w:rsid w:val="00250A8A"/>
    <w:rsid w:val="0026530B"/>
    <w:rsid w:val="00266A87"/>
    <w:rsid w:val="00296D93"/>
    <w:rsid w:val="002B04C6"/>
    <w:rsid w:val="002D3B50"/>
    <w:rsid w:val="00301B6D"/>
    <w:rsid w:val="00392240"/>
    <w:rsid w:val="00396CAE"/>
    <w:rsid w:val="003B3891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777F4"/>
    <w:rsid w:val="005C7EAE"/>
    <w:rsid w:val="005F3C4D"/>
    <w:rsid w:val="006042BD"/>
    <w:rsid w:val="006068C6"/>
    <w:rsid w:val="00615E22"/>
    <w:rsid w:val="006A30D0"/>
    <w:rsid w:val="006C0DE2"/>
    <w:rsid w:val="0072131F"/>
    <w:rsid w:val="00731C1B"/>
    <w:rsid w:val="00737083"/>
    <w:rsid w:val="00765BC9"/>
    <w:rsid w:val="007770A5"/>
    <w:rsid w:val="00794916"/>
    <w:rsid w:val="007F46CB"/>
    <w:rsid w:val="00800B8F"/>
    <w:rsid w:val="00815223"/>
    <w:rsid w:val="00831787"/>
    <w:rsid w:val="00850D3F"/>
    <w:rsid w:val="00853F77"/>
    <w:rsid w:val="00860A47"/>
    <w:rsid w:val="00891C35"/>
    <w:rsid w:val="008935D1"/>
    <w:rsid w:val="008B74C0"/>
    <w:rsid w:val="008F6151"/>
    <w:rsid w:val="009048D5"/>
    <w:rsid w:val="00904AFE"/>
    <w:rsid w:val="0092122C"/>
    <w:rsid w:val="009220DF"/>
    <w:rsid w:val="00965CCB"/>
    <w:rsid w:val="00972E17"/>
    <w:rsid w:val="00974193"/>
    <w:rsid w:val="009A5EB0"/>
    <w:rsid w:val="00A40C10"/>
    <w:rsid w:val="00A443C1"/>
    <w:rsid w:val="00A955CD"/>
    <w:rsid w:val="00AA3D4F"/>
    <w:rsid w:val="00B1777D"/>
    <w:rsid w:val="00B51CD6"/>
    <w:rsid w:val="00B73014"/>
    <w:rsid w:val="00B833D8"/>
    <w:rsid w:val="00BF0A53"/>
    <w:rsid w:val="00C464A8"/>
    <w:rsid w:val="00C6762A"/>
    <w:rsid w:val="00CD4D55"/>
    <w:rsid w:val="00D01740"/>
    <w:rsid w:val="00D7295A"/>
    <w:rsid w:val="00D878F1"/>
    <w:rsid w:val="00D902A8"/>
    <w:rsid w:val="00D97CFB"/>
    <w:rsid w:val="00DB38C2"/>
    <w:rsid w:val="00DD2B37"/>
    <w:rsid w:val="00DD4877"/>
    <w:rsid w:val="00E03841"/>
    <w:rsid w:val="00E7080E"/>
    <w:rsid w:val="00E73AC1"/>
    <w:rsid w:val="00E770E1"/>
    <w:rsid w:val="00E93235"/>
    <w:rsid w:val="00ED5B9D"/>
    <w:rsid w:val="00F14A44"/>
    <w:rsid w:val="00F63B69"/>
    <w:rsid w:val="00F63FF8"/>
    <w:rsid w:val="00FA4D84"/>
    <w:rsid w:val="00FA4DBD"/>
    <w:rsid w:val="01A06D82"/>
    <w:rsid w:val="01B25A4D"/>
    <w:rsid w:val="03505C66"/>
    <w:rsid w:val="07DE0AAA"/>
    <w:rsid w:val="0CF02DEE"/>
    <w:rsid w:val="12080E07"/>
    <w:rsid w:val="12C81AA5"/>
    <w:rsid w:val="1578613D"/>
    <w:rsid w:val="193D01E0"/>
    <w:rsid w:val="1D2027D0"/>
    <w:rsid w:val="1D4E12BA"/>
    <w:rsid w:val="1F4C00ED"/>
    <w:rsid w:val="226117B6"/>
    <w:rsid w:val="23445D57"/>
    <w:rsid w:val="23570372"/>
    <w:rsid w:val="256B156C"/>
    <w:rsid w:val="25B27047"/>
    <w:rsid w:val="26D83835"/>
    <w:rsid w:val="27F5397D"/>
    <w:rsid w:val="2AFF29AF"/>
    <w:rsid w:val="2B6540BB"/>
    <w:rsid w:val="2B6F62D5"/>
    <w:rsid w:val="2B8704A8"/>
    <w:rsid w:val="30C82935"/>
    <w:rsid w:val="359D56FF"/>
    <w:rsid w:val="35EF5E14"/>
    <w:rsid w:val="37083883"/>
    <w:rsid w:val="38146403"/>
    <w:rsid w:val="38B97D28"/>
    <w:rsid w:val="3A1F5203"/>
    <w:rsid w:val="3D584BA2"/>
    <w:rsid w:val="402E288B"/>
    <w:rsid w:val="417E794A"/>
    <w:rsid w:val="45E47B16"/>
    <w:rsid w:val="47651902"/>
    <w:rsid w:val="477B47A9"/>
    <w:rsid w:val="4A30398A"/>
    <w:rsid w:val="4A9F4CF0"/>
    <w:rsid w:val="4AC07792"/>
    <w:rsid w:val="4CE7092E"/>
    <w:rsid w:val="4E252DB9"/>
    <w:rsid w:val="5073301F"/>
    <w:rsid w:val="545424E6"/>
    <w:rsid w:val="54E47F11"/>
    <w:rsid w:val="55835057"/>
    <w:rsid w:val="57DB6B64"/>
    <w:rsid w:val="57EB4A05"/>
    <w:rsid w:val="5BC50A62"/>
    <w:rsid w:val="60050F24"/>
    <w:rsid w:val="61561366"/>
    <w:rsid w:val="6383212C"/>
    <w:rsid w:val="65E0558A"/>
    <w:rsid w:val="68E8683A"/>
    <w:rsid w:val="694D661D"/>
    <w:rsid w:val="696E3491"/>
    <w:rsid w:val="6AFF5937"/>
    <w:rsid w:val="6C3D2854"/>
    <w:rsid w:val="6D5B199F"/>
    <w:rsid w:val="6E163EDE"/>
    <w:rsid w:val="6F7004EB"/>
    <w:rsid w:val="6FFE2E74"/>
    <w:rsid w:val="726C3FD1"/>
    <w:rsid w:val="73815F40"/>
    <w:rsid w:val="767B6E1D"/>
    <w:rsid w:val="76B77724"/>
    <w:rsid w:val="7A7973A8"/>
    <w:rsid w:val="7B0C0998"/>
    <w:rsid w:val="7BAA0A78"/>
    <w:rsid w:val="7C5031A0"/>
    <w:rsid w:val="7E707F48"/>
    <w:rsid w:val="7EFE1DAF"/>
    <w:rsid w:val="7FB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5</Words>
  <Characters>32</Characters>
  <Lines>1</Lines>
  <Paragraphs>1</Paragraphs>
  <TotalTime>28</TotalTime>
  <ScaleCrop>false</ScaleCrop>
  <LinksUpToDate>false</LinksUpToDate>
  <CharactersWithSpaces>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2009-06-06T02:03:00Z</dcterms:created>
  <dc:creator>jw</dc:creator>
  <cp:lastModifiedBy>周卒</cp:lastModifiedBy>
  <cp:lastPrinted>2022-05-14T00:18:00Z</cp:lastPrinted>
  <dcterms:modified xsi:type="dcterms:W3CDTF">2022-05-17T03:45:33Z</dcterms:modified>
  <dc:title>重庆市计委关于巫山县小小三峡手扒岩至平河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