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line="240" w:lineRule="auto"/>
        <w:rPr>
          <w:rFonts w:ascii="Times New Roman" w:hAnsi="Times New Roman" w:eastAsia="方正黑体_GBK"/>
          <w:bCs/>
        </w:rPr>
      </w:pPr>
    </w:p>
    <w:p>
      <w:pPr>
        <w:adjustRightInd/>
        <w:spacing w:beforeLines="0" w:afterLines="0" w:line="240" w:lineRule="auto"/>
        <w:rPr>
          <w:rFonts w:ascii="Times New Roman" w:hAnsi="Times New Roman" w:eastAsia="方正黑体_GBK"/>
          <w:bCs/>
        </w:rPr>
      </w:pPr>
    </w:p>
    <w:p>
      <w:pPr>
        <w:adjustRightInd/>
        <w:spacing w:beforeLines="0" w:afterLines="0" w:line="240" w:lineRule="auto"/>
        <w:rPr>
          <w:rFonts w:ascii="Times New Roman" w:hAnsi="Times New Roman" w:eastAsia="方正黑体_GBK"/>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jc w:val="center"/>
        <w:rPr>
          <w:rFonts w:hint="eastAsia" w:cs="方正仿宋_GBK"/>
          <w:bCs/>
        </w:rPr>
      </w:pPr>
      <w:r>
        <w:rPr>
          <w:rFonts w:hint="eastAsia" w:eastAsia="方正仿宋_GBK" w:cs="方正仿宋_GBK"/>
          <w:vanish w:val="0"/>
          <w:kern w:val="2"/>
        </w:rPr>
        <w:t>渝发改体改〔2022〕165号</w:t>
      </w:r>
    </w:p>
    <w:p>
      <w:pPr>
        <w:adjustRightInd/>
        <w:spacing w:beforeLines="0" w:afterLines="0" w:line="240" w:lineRule="auto"/>
        <w:jc w:val="center"/>
        <w:rPr>
          <w:bCs/>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jc w:val="center"/>
        <w:textAlignment w:val="auto"/>
        <w:outlineLvl w:val="9"/>
        <w:rPr>
          <w:rFonts w:hint="eastAsia" w:eastAsia="方正小标宋_GBK" w:cs="黑体"/>
          <w:sz w:val="44"/>
          <w:szCs w:val="44"/>
        </w:rPr>
      </w:pPr>
      <w:bookmarkStart w:id="0" w:name="正文"/>
      <w:bookmarkEnd w:id="0"/>
    </w:p>
    <w:p>
      <w:pPr>
        <w:keepNext w:val="0"/>
        <w:keepLines w:val="0"/>
        <w:pageBreakBefore w:val="0"/>
        <w:kinsoku/>
        <w:wordWrap/>
        <w:overflowPunct/>
        <w:topLinePunct w:val="0"/>
        <w:autoSpaceDE/>
        <w:autoSpaceDN/>
        <w:bidi w:val="0"/>
        <w:adjustRightInd/>
        <w:snapToGrid/>
        <w:spacing w:beforeLines="0" w:after="0" w:afterLines="0" w:line="580" w:lineRule="exact"/>
        <w:ind w:left="0" w:leftChars="0" w:right="0" w:rightChars="0"/>
        <w:jc w:val="center"/>
        <w:textAlignment w:val="auto"/>
        <w:outlineLvl w:val="9"/>
        <w:rPr>
          <w:rFonts w:hint="eastAsia" w:eastAsia="方正小标宋_GBK" w:cs="黑体"/>
          <w:sz w:val="44"/>
          <w:szCs w:val="44"/>
        </w:rPr>
      </w:pPr>
      <w:r>
        <w:rPr>
          <w:rFonts w:hint="eastAsia" w:eastAsia="方正小标宋_GBK" w:cs="黑体"/>
          <w:sz w:val="44"/>
          <w:szCs w:val="44"/>
        </w:rPr>
        <w:t>关于印发《支持服务业等困难行业纾困恢复</w:t>
      </w:r>
    </w:p>
    <w:p>
      <w:pPr>
        <w:keepNext w:val="0"/>
        <w:keepLines w:val="0"/>
        <w:pageBreakBefore w:val="0"/>
        <w:kinsoku/>
        <w:wordWrap/>
        <w:overflowPunct/>
        <w:topLinePunct w:val="0"/>
        <w:autoSpaceDE/>
        <w:autoSpaceDN/>
        <w:bidi w:val="0"/>
        <w:adjustRightInd/>
        <w:snapToGrid/>
        <w:spacing w:beforeLines="0" w:after="0" w:afterLines="0" w:line="580" w:lineRule="exact"/>
        <w:ind w:left="0" w:leftChars="0" w:right="0" w:rightChars="0"/>
        <w:jc w:val="center"/>
        <w:textAlignment w:val="auto"/>
        <w:outlineLvl w:val="9"/>
        <w:rPr>
          <w:rFonts w:hint="eastAsia" w:eastAsia="方正小标宋_GBK" w:cs="黑体"/>
          <w:sz w:val="44"/>
          <w:szCs w:val="44"/>
        </w:rPr>
      </w:pPr>
      <w:r>
        <w:rPr>
          <w:rFonts w:hint="eastAsia" w:eastAsia="方正小标宋_GBK" w:cs="黑体"/>
          <w:sz w:val="44"/>
          <w:szCs w:val="44"/>
        </w:rPr>
        <w:t>十条措施》的通知</w:t>
      </w:r>
    </w:p>
    <w:p>
      <w:pPr>
        <w:keepNext w:val="0"/>
        <w:keepLines w:val="0"/>
        <w:pageBreakBefore w:val="0"/>
        <w:tabs>
          <w:tab w:val="center" w:pos="4153"/>
          <w:tab w:val="right" w:pos="8306"/>
        </w:tabs>
        <w:kinsoku/>
        <w:wordWrap/>
        <w:overflowPunct/>
        <w:topLinePunct w:val="0"/>
        <w:autoSpaceDE/>
        <w:autoSpaceDN/>
        <w:bidi w:val="0"/>
        <w:adjustRightInd/>
        <w:snapToGrid/>
        <w:spacing w:beforeLines="0" w:after="0" w:afterLines="0" w:line="240" w:lineRule="auto"/>
        <w:ind w:left="0" w:leftChars="0" w:right="0"/>
        <w:jc w:val="left"/>
        <w:rPr>
          <w:rFonts w:hint="eastAsia" w:cs="仿宋"/>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0" w:firstLineChars="0"/>
        <w:textAlignment w:val="auto"/>
        <w:outlineLvl w:val="9"/>
        <w:rPr>
          <w:rFonts w:hint="eastAsia" w:cs="方正仿宋_GBK"/>
          <w:kern w:val="2"/>
        </w:rPr>
      </w:pPr>
      <w:r>
        <w:rPr>
          <w:rFonts w:hint="eastAsia" w:cs="方正仿宋_GBK"/>
          <w:kern w:val="2"/>
        </w:rPr>
        <w:t>各区县（自治县）人民政府，市政府各部门，有关单位：</w:t>
      </w: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r>
        <w:rPr>
          <w:rFonts w:hint="eastAsia" w:cs="方正仿宋_GBK"/>
          <w:kern w:val="2"/>
        </w:rPr>
        <w:t>《支持服务业等困难行业纾困恢复十条措施》已经市政府同意，现印发给你们，请认真抓好落实。</w:t>
      </w: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right="0" w:rightChars="0" w:firstLine="316" w:firstLineChars="100"/>
        <w:textAlignment w:val="auto"/>
        <w:outlineLvl w:val="9"/>
        <w:rPr>
          <w:rFonts w:hint="eastAsia" w:cs="方正仿宋_GBK"/>
          <w:kern w:val="2"/>
        </w:rPr>
      </w:pPr>
      <w:r>
        <w:rPr>
          <w:rFonts w:hint="eastAsia" w:cs="方正仿宋_GBK"/>
          <w:kern w:val="2"/>
        </w:rPr>
        <w:t>重庆市发展和改革委员会            重庆市商务委员会</w:t>
      </w: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right="0" w:rightChars="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right="0" w:rightChars="0" w:firstLine="316" w:firstLineChars="100"/>
        <w:textAlignment w:val="auto"/>
        <w:outlineLvl w:val="9"/>
        <w:rPr>
          <w:rFonts w:hint="eastAsia" w:cs="方正仿宋_GBK"/>
          <w:kern w:val="2"/>
        </w:rPr>
      </w:pPr>
      <w:r>
        <w:rPr>
          <w:rFonts w:hint="eastAsia" w:cs="方正仿宋_GBK"/>
          <w:kern w:val="2"/>
        </w:rPr>
        <w:t>重庆市文化和旅游发展委员会          重庆市财政局</w:t>
      </w: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right="0" w:rightChars="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4108" w:firstLineChars="1300"/>
        <w:textAlignment w:val="auto"/>
        <w:outlineLvl w:val="9"/>
        <w:rPr>
          <w:rFonts w:hint="eastAsia" w:cs="方正仿宋_GBK"/>
          <w:kern w:val="2"/>
        </w:rPr>
      </w:pPr>
      <w:r>
        <w:rPr>
          <w:rFonts w:hint="eastAsia" w:cs="方正仿宋_GBK"/>
          <w:kern w:val="2"/>
        </w:rPr>
        <w:t xml:space="preserve">重庆市人力资源和社会保障局        </w:t>
      </w:r>
    </w:p>
    <w:p>
      <w:pPr>
        <w:keepNext w:val="0"/>
        <w:keepLines w:val="0"/>
        <w:pageBreakBefore w:val="0"/>
        <w:kinsoku/>
        <w:wordWrap w:val="0"/>
        <w:overflowPunct/>
        <w:topLinePunct w:val="0"/>
        <w:autoSpaceDE/>
        <w:autoSpaceDN/>
        <w:bidi w:val="0"/>
        <w:adjustRightInd/>
        <w:snapToGrid/>
        <w:spacing w:beforeLines="0" w:beforeAutospacing="0" w:after="0" w:afterLines="0" w:line="240" w:lineRule="auto"/>
        <w:ind w:left="0" w:leftChars="0" w:right="0" w:rightChars="0" w:firstLine="632" w:firstLineChars="200"/>
        <w:jc w:val="center"/>
        <w:textAlignment w:val="auto"/>
        <w:outlineLvl w:val="9"/>
        <w:rPr>
          <w:rFonts w:hint="eastAsia" w:cs="方正仿宋_GBK"/>
          <w:kern w:val="2"/>
        </w:rPr>
      </w:pPr>
      <w:r>
        <w:rPr>
          <w:rFonts w:hint="eastAsia" w:cs="方正仿宋_GBK"/>
          <w:kern w:val="2"/>
          <w:lang w:val="en-US" w:eastAsia="zh-CN"/>
        </w:rPr>
        <w:t xml:space="preserve">                </w:t>
      </w:r>
      <w:r>
        <w:rPr>
          <w:rFonts w:hint="eastAsia" w:cs="方正仿宋_GBK"/>
          <w:kern w:val="2"/>
        </w:rPr>
        <w:t xml:space="preserve"> 2022年2月</w:t>
      </w:r>
      <w:r>
        <w:rPr>
          <w:rFonts w:hint="eastAsia" w:cs="方正仿宋_GBK"/>
          <w:kern w:val="2"/>
          <w:lang w:val="en-US" w:eastAsia="zh-CN"/>
        </w:rPr>
        <w:t>9</w:t>
      </w:r>
      <w:r>
        <w:rPr>
          <w:rFonts w:hint="eastAsia" w:cs="方正仿宋_GBK"/>
          <w:kern w:val="2"/>
        </w:rPr>
        <w:t xml:space="preserve">日 </w:t>
      </w: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kinsoku/>
        <w:wordWrap/>
        <w:overflowPunct/>
        <w:topLinePunct w:val="0"/>
        <w:autoSpaceDE/>
        <w:autoSpaceDN/>
        <w:bidi w:val="0"/>
        <w:adjustRightInd/>
        <w:snapToGrid/>
        <w:spacing w:beforeLines="0" w:beforeAutospacing="0" w:after="0" w:afterLines="0" w:line="240" w:lineRule="auto"/>
        <w:ind w:left="0" w:leftChars="0" w:right="0" w:rightChars="0" w:firstLine="632" w:firstLineChars="200"/>
        <w:textAlignment w:val="auto"/>
        <w:outlineLvl w:val="9"/>
        <w:rPr>
          <w:rFonts w:hint="eastAsia" w:cs="方正仿宋_GBK"/>
          <w:kern w:val="2"/>
        </w:rPr>
      </w:pPr>
    </w:p>
    <w:p>
      <w:pPr>
        <w:keepNext w:val="0"/>
        <w:keepLines w:val="0"/>
        <w:pageBreakBefore w:val="0"/>
        <w:numPr>
          <w:ilvl w:val="0"/>
          <w:numId w:val="0"/>
        </w:numPr>
        <w:kinsoku/>
        <w:wordWrap/>
        <w:overflowPunct/>
        <w:topLinePunct w:val="0"/>
        <w:autoSpaceDE/>
        <w:autoSpaceDN/>
        <w:bidi w:val="0"/>
        <w:adjustRightInd/>
        <w:spacing w:beforeLines="0" w:after="0" w:afterLines="0" w:line="240" w:lineRule="auto"/>
        <w:ind w:left="0" w:leftChars="0" w:right="0" w:rightChars="0" w:firstLine="0"/>
        <w:jc w:val="center"/>
        <w:textAlignment w:val="auto"/>
        <w:rPr>
          <w:rFonts w:hint="eastAsia" w:eastAsia="方正黑体_GBK" w:cs="方正黑体_GBK"/>
          <w:kern w:val="2"/>
        </w:rPr>
      </w:pPr>
      <w:r>
        <w:rPr>
          <w:rFonts w:hint="eastAsia" w:eastAsia="方正黑体_GBK" w:cs="方正黑体_GBK"/>
          <w:kern w:val="2"/>
        </w:rPr>
        <w:br w:type="page"/>
      </w:r>
    </w:p>
    <w:p>
      <w:pPr>
        <w:keepNext w:val="0"/>
        <w:keepLines w:val="0"/>
        <w:pageBreakBefore w:val="0"/>
        <w:numPr>
          <w:ilvl w:val="-1"/>
          <w:numId w:val="0"/>
        </w:numPr>
        <w:kinsoku/>
        <w:wordWrap/>
        <w:overflowPunct/>
        <w:topLinePunct w:val="0"/>
        <w:autoSpaceDE/>
        <w:autoSpaceDN/>
        <w:bidi w:val="0"/>
        <w:adjustRightInd/>
        <w:snapToGrid/>
        <w:spacing w:beforeLines="0" w:after="0" w:afterLines="0" w:line="580" w:lineRule="exact"/>
        <w:ind w:left="0" w:leftChars="0" w:right="0" w:rightChars="0" w:firstLine="0"/>
        <w:jc w:val="center"/>
        <w:textAlignment w:val="auto"/>
        <w:outlineLvl w:val="9"/>
        <w:rPr>
          <w:rFonts w:hint="eastAsia" w:eastAsia="方正小标宋_GBK" w:cs="黑体"/>
          <w:kern w:val="0"/>
          <w:sz w:val="44"/>
          <w:szCs w:val="44"/>
        </w:rPr>
      </w:pPr>
      <w:r>
        <w:rPr>
          <w:rFonts w:hint="eastAsia" w:eastAsia="方正小标宋_GBK" w:cs="黑体"/>
          <w:kern w:val="0"/>
          <w:sz w:val="44"/>
          <w:szCs w:val="44"/>
        </w:rPr>
        <w:t>支持服务业等困难行业纾困恢复十条措施</w:t>
      </w:r>
    </w:p>
    <w:p>
      <w:pPr>
        <w:keepNext w:val="0"/>
        <w:keepLines w:val="0"/>
        <w:pageBreakBefore w:val="0"/>
        <w:kinsoku/>
        <w:wordWrap/>
        <w:overflowPunct/>
        <w:topLinePunct w:val="0"/>
        <w:autoSpaceDE/>
        <w:autoSpaceDN/>
        <w:bidi w:val="0"/>
        <w:adjustRightInd/>
        <w:snapToGrid/>
        <w:spacing w:beforeLines="0" w:after="0" w:afterLines="0" w:line="240" w:lineRule="auto"/>
        <w:ind w:right="0" w:rightChars="0"/>
        <w:textAlignment w:val="auto"/>
        <w:rPr>
          <w:rFonts w:eastAsia="方正楷体_GBK"/>
          <w:kern w:val="2"/>
        </w:rPr>
      </w:pP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rPr>
          <w:rFonts w:eastAsia="方正楷体_GBK"/>
          <w:kern w:val="2"/>
        </w:rPr>
      </w:pPr>
      <w:r>
        <w:rPr>
          <w:rFonts w:eastAsia="方正楷体_GBK"/>
          <w:kern w:val="2"/>
        </w:rPr>
        <w:t>（一）延长困难企业失业保险降费政策。</w:t>
      </w:r>
      <w:r>
        <w:rPr>
          <w:kern w:val="2"/>
        </w:rPr>
        <w:t>对批发零售、住宿餐饮、居民服务、会展、文化和旅游业中小微企业（含个体工商户），延长失业保险降费政策期限至2022年12月31日。</w:t>
      </w:r>
      <w:r>
        <w:rPr>
          <w:rFonts w:eastAsia="方正楷体_GBK"/>
          <w:kern w:val="2"/>
        </w:rPr>
        <w:t>（牵头单位：市人力社保局，配合单位：市商务委、市文化旅游委）</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kern w:val="2"/>
        </w:rPr>
      </w:pPr>
      <w:r>
        <w:rPr>
          <w:rFonts w:eastAsia="方正楷体_GBK"/>
          <w:kern w:val="2"/>
        </w:rPr>
        <w:t>（二）实施文旅企业贷款贴息。</w:t>
      </w:r>
      <w:r>
        <w:rPr>
          <w:kern w:val="2"/>
        </w:rPr>
        <w:t>2022年，市区两级联合对受疫情影响严重、经营暂时困难的文旅企业实施贷款贴息。（</w:t>
      </w:r>
      <w:r>
        <w:rPr>
          <w:rFonts w:eastAsia="方正楷体_GBK"/>
          <w:kern w:val="2"/>
        </w:rPr>
        <w:t>牵头单位：市文化旅游委，配合单位：市财政局，各区县政府）</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rPr>
          <w:rFonts w:eastAsia="方正楷体_GBK"/>
          <w:kern w:val="2"/>
        </w:rPr>
      </w:pPr>
      <w:r>
        <w:rPr>
          <w:rFonts w:eastAsia="方正楷体_GBK"/>
          <w:kern w:val="2"/>
        </w:rPr>
        <w:t>（三）持续实施金融惠企。</w:t>
      </w:r>
      <w:r>
        <w:rPr>
          <w:kern w:val="2"/>
        </w:rPr>
        <w:t>延期支持工具转换为普惠小微贷款支持工具，金融机构与企业按市场化原则自主协商贷款还本付息，从2022年1月1日起到2023年6月30日，按照地方法人银行普惠小微贷款余额增量的1%提供资金。从2022年1月1日起，普惠小微企业信用贷款支持计划并入支农支小再贷款管理。</w:t>
      </w:r>
      <w:r>
        <w:rPr>
          <w:rFonts w:eastAsia="方正楷体_GBK"/>
          <w:kern w:val="2"/>
        </w:rPr>
        <w:t>（牵头单位：人行重庆营管部）</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kern w:val="2"/>
        </w:rPr>
        <w:t>（四）因疫情防控临时关停网吧宽带专线费优惠。</w:t>
      </w:r>
      <w:r>
        <w:t>重庆电信、联通、移动等公司对2021年7月28日至9月10日和11月2日至11月17日，因疫情防控临时关停的网吧经营主体，给予减免网费或延长同等时段的服务期限等优惠。</w:t>
      </w:r>
      <w:r>
        <w:rPr>
          <w:rFonts w:eastAsia="方正楷体_GBK"/>
        </w:rPr>
        <w:t>（牵头单位：市通信管理局，配合单位：重庆电信、联通、移动公司）</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rPr>
      </w:pPr>
      <w:r>
        <w:rPr>
          <w:rFonts w:eastAsia="方正楷体_GBK"/>
          <w:kern w:val="2"/>
        </w:rPr>
        <w:t>（五）</w:t>
      </w:r>
      <w:r>
        <w:rPr>
          <w:rFonts w:eastAsia="方正楷体_GBK"/>
          <w:kern w:val="2"/>
          <w:szCs w:val="24"/>
        </w:rPr>
        <w:t>经营困难旅行社缓缴住房公积金。</w:t>
      </w:r>
      <w:r>
        <w:rPr>
          <w:kern w:val="2"/>
          <w:szCs w:val="24"/>
        </w:rPr>
        <w:t>2022年，受疫情影响暂时经营困难的旅行社可按规定申请降低住房公积金缴存比例或缓缴。</w:t>
      </w:r>
      <w:r>
        <w:rPr>
          <w:rFonts w:eastAsia="方正楷体_GBK"/>
          <w:kern w:val="2"/>
        </w:rPr>
        <w:t>（牵头单位：市住房城乡建委，配合单位：市文化旅游委）</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rPr>
          <w:rFonts w:eastAsia="方正楷体_GBK"/>
          <w:kern w:val="2"/>
        </w:rPr>
      </w:pPr>
      <w:r>
        <w:rPr>
          <w:rFonts w:eastAsia="方正楷体_GBK"/>
          <w:kern w:val="2"/>
        </w:rPr>
        <w:t>（六）</w:t>
      </w:r>
      <w:r>
        <w:rPr>
          <w:rFonts w:eastAsia="方正楷体_GBK"/>
          <w:kern w:val="2"/>
          <w:szCs w:val="24"/>
        </w:rPr>
        <w:t>星级旅游饭店缓缴城市基础设施配套费。</w:t>
      </w:r>
      <w:r>
        <w:rPr>
          <w:kern w:val="2"/>
          <w:szCs w:val="24"/>
        </w:rPr>
        <w:t>对投资新建的四星级以上旅游星级饭店，其配套费缓缴按照《重庆市城市建设配套费征收管理办法》（重庆市人民政府令第253号）的规定执行，</w:t>
      </w:r>
      <w:r>
        <w:rPr>
          <w:kern w:val="2"/>
        </w:rPr>
        <w:t>应缴配套费达到规定数额后享受配套费缓缴优惠政策。</w:t>
      </w:r>
      <w:r>
        <w:rPr>
          <w:rFonts w:eastAsia="方正楷体_GBK"/>
          <w:kern w:val="2"/>
        </w:rPr>
        <w:t>（牵头单位：市住房城乡建委，配合单位：市文化旅游委）</w:t>
      </w:r>
    </w:p>
    <w:p>
      <w:pPr>
        <w:keepNext w:val="0"/>
        <w:keepLines w:val="0"/>
        <w:pageBreakBefore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rPr>
          <w:rFonts w:eastAsia="方正楷体_GBK"/>
          <w:kern w:val="2"/>
        </w:rPr>
      </w:pPr>
      <w:r>
        <w:rPr>
          <w:rFonts w:eastAsia="方正楷体_GBK"/>
          <w:kern w:val="2"/>
        </w:rPr>
        <w:t>（七）优化技能培训模式。</w:t>
      </w:r>
      <w:r>
        <w:rPr>
          <w:kern w:val="2"/>
        </w:rPr>
        <w:t>通过购买服务的方式，依托行业协会、专业市场、重点企业加大对高校毕业生、新生代农民工、失业人员和转岗职工等重点人群的技能培训，大力推广“互联网+”培训模式。</w:t>
      </w:r>
      <w:r>
        <w:rPr>
          <w:rFonts w:eastAsia="方正楷体_GBK"/>
        </w:rPr>
        <w:t>（牵头单位：市人力社保局，配合单位：市商务委、市文化旅游委）</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kern w:val="2"/>
        </w:rPr>
      </w:pPr>
      <w:r>
        <w:rPr>
          <w:rFonts w:eastAsia="方正楷体_GBK"/>
          <w:kern w:val="2"/>
        </w:rPr>
        <w:t>（八）提供优质高效法律服务。</w:t>
      </w:r>
      <w:r>
        <w:rPr>
          <w:kern w:val="2"/>
        </w:rPr>
        <w:t>对生产经营存在严重困难的中小微企业，依法提供减交、缓交诉讼费等司法救助。对于受疫情等因素影响直接导致中小微企业合同不能履行或者继续履行合同对其明显不公的，依照民法典第五百九十条或者第五百三十三条的规定适用不可抗力或者情势变更规则妥善处理。</w:t>
      </w:r>
      <w:r>
        <w:rPr>
          <w:rFonts w:hint="eastAsia"/>
          <w:kern w:val="2"/>
        </w:rPr>
        <w:t>对受疫情</w:t>
      </w:r>
      <w:r>
        <w:rPr>
          <w:kern w:val="2"/>
        </w:rPr>
        <w:t>引发的各类法律问题提供免费的企业公益法律咨询。</w:t>
      </w:r>
      <w:r>
        <w:rPr>
          <w:rFonts w:eastAsia="方正楷体_GBK"/>
          <w:kern w:val="2"/>
        </w:rPr>
        <w:t>（牵头单位：市司法局、市高法院，配合单位：市市场监管局）</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eastAsia="方正楷体_GBK"/>
          <w:kern w:val="2"/>
        </w:rPr>
      </w:pPr>
      <w:r>
        <w:rPr>
          <w:rFonts w:eastAsia="方正楷体_GBK"/>
          <w:kern w:val="2"/>
        </w:rPr>
        <w:t>（九）降低平台经济参与者经营成本。</w:t>
      </w:r>
      <w:r>
        <w:rPr>
          <w:kern w:val="2"/>
        </w:rPr>
        <w:t>鼓励生活服务类电商平台放宽中小微企业和个体工商户入驻条件，引导平台企业降低服务、推广和宣传费用，对优质小微商户给予一定流量扶持。</w:t>
      </w:r>
      <w:r>
        <w:rPr>
          <w:rFonts w:eastAsia="方正楷体_GBK"/>
          <w:kern w:val="2"/>
        </w:rPr>
        <w:t>（牵头单位：市市场监管局）</w:t>
      </w:r>
    </w:p>
    <w:p>
      <w:pPr>
        <w:keepNext w:val="0"/>
        <w:keepLines w:val="0"/>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textAlignment w:val="auto"/>
        <w:outlineLvl w:val="9"/>
        <w:rPr>
          <w:rFonts w:hint="eastAsia" w:eastAsia="方正黑体_GBK"/>
        </w:rPr>
      </w:pPr>
      <w:r>
        <w:rPr>
          <w:rFonts w:eastAsia="方正楷体_GBK"/>
          <w:kern w:val="2"/>
        </w:rPr>
        <w:t>（十）进一步做好精准防控。</w:t>
      </w:r>
      <w:r>
        <w:rPr>
          <w:kern w:val="2"/>
        </w:rPr>
        <w:t>按照国务院联防联控机制和市级疫情防控要求实施精准防控，支持保障经营者和消费者正常合理需求。支持商品市场、零售商、食品批发、餐饮等在全市五个首仓运送进口冷链食品。支持各区县以划定区域等方式扩大外摆经营场所，允许经营者适度拓展经营场地、延长经营时间，减免各类管理费用。加大保障物流畅通，公安交管部门扩大商务领域单位绿色通行证办理范围，对每日7点前实施果蔬食材配送的车辆实行柔性交通管理。</w:t>
      </w:r>
      <w:r>
        <w:rPr>
          <w:rFonts w:eastAsia="方正楷体_GBK"/>
          <w:kern w:val="2"/>
        </w:rPr>
        <w:t>（牵头单位：市市场监管局、市城管局、市公安局，配合单位：市卫生健康委、市商务委，各区县政府）</w:t>
      </w:r>
    </w:p>
    <w:p>
      <w:pPr>
        <w:adjustRightInd/>
        <w:spacing w:beforeLines="0" w:afterLines="0" w:line="240" w:lineRule="auto"/>
        <w:rPr>
          <w:rFonts w:ascii="Times New Roman" w:hAnsi="Times New Roman"/>
        </w:rPr>
        <w:sectPr>
          <w:footerReference r:id="rId3" w:type="default"/>
          <w:footerReference r:id="rId4" w:type="even"/>
          <w:pgSz w:w="11906" w:h="16838"/>
          <w:pgMar w:top="2098" w:right="1531" w:bottom="1984" w:left="1531" w:header="851" w:footer="1417" w:gutter="0"/>
          <w:cols w:space="0" w:num="1"/>
          <w:rtlGutter w:val="0"/>
          <w:docGrid w:type="linesAndChars" w:linePitch="579" w:charSpace="-849"/>
        </w:sectPr>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adjustRightInd/>
        <w:spacing w:beforeLines="0" w:afterLines="0" w:line="240" w:lineRule="auto"/>
      </w:pPr>
    </w:p>
    <w:p>
      <w:pPr>
        <w:pBdr>
          <w:bottom w:val="none" w:color="auto" w:sz="0" w:space="0"/>
        </w:pBdr>
        <w:adjustRightInd/>
        <w:spacing w:beforeLines="0" w:afterLines="0" w:line="240" w:lineRule="auto"/>
      </w:pPr>
    </w:p>
    <w:p>
      <w:pPr>
        <w:pBdr>
          <w:top w:val="single" w:color="auto" w:sz="12" w:space="0"/>
          <w:bottom w:val="single" w:color="auto" w:sz="12" w:space="0"/>
        </w:pBdr>
        <w:adjustRightInd/>
        <w:spacing w:beforeLines="0" w:afterLines="0" w:line="240" w:lineRule="auto"/>
        <w:rPr>
          <w:rFonts w:hint="eastAsia"/>
          <w:sz w:val="28"/>
          <w:szCs w:val="28"/>
          <w:lang w:val="en-US" w:eastAsia="zh-CN"/>
        </w:rPr>
      </w:pPr>
      <w:r>
        <w:rPr>
          <w:rFonts w:hint="eastAsia"/>
          <w:sz w:val="28"/>
          <w:szCs w:val="28"/>
          <w:lang w:val="en-US" w:eastAsia="zh-CN"/>
        </w:rPr>
        <w:t xml:space="preserve">  </w:t>
      </w:r>
      <w:bookmarkStart w:id="1" w:name="_GoBack"/>
      <w:bookmarkEnd w:id="1"/>
    </w:p>
    <w:sectPr>
      <w:footerReference r:id="rId5" w:type="default"/>
      <w:pgSz w:w="11906" w:h="16838"/>
      <w:pgMar w:top="2098" w:right="1531" w:bottom="1984" w:left="1531"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roman"/>
    <w:pitch w:val="default"/>
    <w:sig w:usb0="00000000" w:usb1="00000000"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Helvetica Neue">
    <w:altName w:val="Times New Roman"/>
    <w:panose1 w:val="00000000000000000000"/>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Calibri Light">
    <w:altName w:val="Calibri"/>
    <w:panose1 w:val="020F0302020204030204"/>
    <w:charset w:val="00"/>
    <w:family w:val="swiss"/>
    <w:pitch w:val="default"/>
    <w:sig w:usb0="00000000"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大标宋_GBK">
    <w:altName w:val="宋体"/>
    <w:panose1 w:val="03000509000000000000"/>
    <w:charset w:val="86"/>
    <w:family w:val="script"/>
    <w:pitch w:val="default"/>
    <w:sig w:usb0="00000000" w:usb1="00000000" w:usb2="00000010" w:usb3="00000000" w:csb0="00040000" w:csb1="00000000"/>
  </w:font>
  <w:font w:name="Source Han Sans Bold">
    <w:altName w:val="Meiryo"/>
    <w:panose1 w:val="00000000000000000000"/>
    <w:charset w:val="80"/>
    <w:family w:val="swiss"/>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Meiryo">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文本框 2"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92240"/>
    <w:rsid w:val="00396CAE"/>
    <w:rsid w:val="003B3891"/>
    <w:rsid w:val="003D5F25"/>
    <w:rsid w:val="003E4FE8"/>
    <w:rsid w:val="003E5084"/>
    <w:rsid w:val="003F450B"/>
    <w:rsid w:val="00413264"/>
    <w:rsid w:val="00432433"/>
    <w:rsid w:val="00434D79"/>
    <w:rsid w:val="004377D7"/>
    <w:rsid w:val="00474C3A"/>
    <w:rsid w:val="00496D2E"/>
    <w:rsid w:val="00497F00"/>
    <w:rsid w:val="004A2FB3"/>
    <w:rsid w:val="004E0474"/>
    <w:rsid w:val="0050535E"/>
    <w:rsid w:val="005777F4"/>
    <w:rsid w:val="005C7EAE"/>
    <w:rsid w:val="005F3C4D"/>
    <w:rsid w:val="006042BD"/>
    <w:rsid w:val="006068C6"/>
    <w:rsid w:val="006A30D0"/>
    <w:rsid w:val="006C0DE2"/>
    <w:rsid w:val="0072131F"/>
    <w:rsid w:val="00731C1B"/>
    <w:rsid w:val="00737083"/>
    <w:rsid w:val="00765BC9"/>
    <w:rsid w:val="007770A5"/>
    <w:rsid w:val="00794916"/>
    <w:rsid w:val="007F46CB"/>
    <w:rsid w:val="00800B8F"/>
    <w:rsid w:val="00815223"/>
    <w:rsid w:val="00831787"/>
    <w:rsid w:val="0084098A"/>
    <w:rsid w:val="00850D3F"/>
    <w:rsid w:val="00853F77"/>
    <w:rsid w:val="00860A47"/>
    <w:rsid w:val="00891C35"/>
    <w:rsid w:val="008935D1"/>
    <w:rsid w:val="008B74C0"/>
    <w:rsid w:val="009048D5"/>
    <w:rsid w:val="00904AFE"/>
    <w:rsid w:val="0092122C"/>
    <w:rsid w:val="009220DF"/>
    <w:rsid w:val="00965CCB"/>
    <w:rsid w:val="00972E17"/>
    <w:rsid w:val="00974193"/>
    <w:rsid w:val="009A5EB0"/>
    <w:rsid w:val="00A31BA7"/>
    <w:rsid w:val="00A40C10"/>
    <w:rsid w:val="00A443C1"/>
    <w:rsid w:val="00A955CD"/>
    <w:rsid w:val="00B1777D"/>
    <w:rsid w:val="00B51CD6"/>
    <w:rsid w:val="00B73014"/>
    <w:rsid w:val="00B833D8"/>
    <w:rsid w:val="00BF0A53"/>
    <w:rsid w:val="00C464A8"/>
    <w:rsid w:val="00C6762A"/>
    <w:rsid w:val="00CD4D55"/>
    <w:rsid w:val="00D01740"/>
    <w:rsid w:val="00D34DF5"/>
    <w:rsid w:val="00D7295A"/>
    <w:rsid w:val="00D8670F"/>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930C1"/>
    <w:rsid w:val="00FA4D84"/>
    <w:rsid w:val="00FA4DBD"/>
    <w:rsid w:val="01A06D82"/>
    <w:rsid w:val="01B25A4D"/>
    <w:rsid w:val="03505C66"/>
    <w:rsid w:val="06276D3C"/>
    <w:rsid w:val="07DE0AAA"/>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2BB764DC"/>
    <w:rsid w:val="30C82935"/>
    <w:rsid w:val="359D56FF"/>
    <w:rsid w:val="35EF5E14"/>
    <w:rsid w:val="37083883"/>
    <w:rsid w:val="38146403"/>
    <w:rsid w:val="38B97D28"/>
    <w:rsid w:val="3A1F5203"/>
    <w:rsid w:val="3D584BA2"/>
    <w:rsid w:val="402E288B"/>
    <w:rsid w:val="417E794A"/>
    <w:rsid w:val="45E47B16"/>
    <w:rsid w:val="47651902"/>
    <w:rsid w:val="477B47A9"/>
    <w:rsid w:val="47AC3CD7"/>
    <w:rsid w:val="4A30398A"/>
    <w:rsid w:val="4AC07792"/>
    <w:rsid w:val="4CE7092E"/>
    <w:rsid w:val="4E252DB9"/>
    <w:rsid w:val="5073301F"/>
    <w:rsid w:val="545424E6"/>
    <w:rsid w:val="54E47F11"/>
    <w:rsid w:val="55835057"/>
    <w:rsid w:val="5BC50A62"/>
    <w:rsid w:val="5C5A14AA"/>
    <w:rsid w:val="60050F24"/>
    <w:rsid w:val="61561366"/>
    <w:rsid w:val="6383212C"/>
    <w:rsid w:val="65E0558A"/>
    <w:rsid w:val="68E8683A"/>
    <w:rsid w:val="694D661D"/>
    <w:rsid w:val="696E3491"/>
    <w:rsid w:val="6AFF5937"/>
    <w:rsid w:val="6C3D2854"/>
    <w:rsid w:val="6E163EDE"/>
    <w:rsid w:val="726C3FD1"/>
    <w:rsid w:val="73815F40"/>
    <w:rsid w:val="74C666E5"/>
    <w:rsid w:val="76B77724"/>
    <w:rsid w:val="7A7973A8"/>
    <w:rsid w:val="7B0C0998"/>
    <w:rsid w:val="7BAA0A78"/>
    <w:rsid w:val="7C5031A0"/>
    <w:rsid w:val="7E707F48"/>
    <w:rsid w:val="7EA80CB7"/>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5">
    <w:name w:val="Default Paragraph Font"/>
    <w:unhideWhenUsed/>
    <w:uiPriority w:val="1"/>
  </w:style>
  <w:style w:type="table" w:default="1" w:styleId="7">
    <w:name w:val="Normal Table"/>
    <w:unhideWhenUsed/>
    <w:uiPriority w:val="99"/>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uiPriority w:val="0"/>
  </w:style>
  <w:style w:type="character" w:customStyle="1" w:styleId="8">
    <w:name w:val="页脚 Char"/>
    <w:link w:val="3"/>
    <w:uiPriority w:val="99"/>
    <w:rPr>
      <w:rFonts w:eastAsia="方正仿宋_GBK"/>
      <w:sz w:val="18"/>
      <w:szCs w:val="18"/>
    </w:rPr>
  </w:style>
  <w:style w:type="character" w:customStyle="1" w:styleId="9">
    <w:name w:val="页眉 Char"/>
    <w:link w:val="4"/>
    <w:uiPriority w:val="0"/>
    <w:rPr>
      <w:rFonts w:eastAsia="方正仿宋_GBK"/>
      <w:sz w:val="18"/>
      <w:szCs w:val="18"/>
    </w:rPr>
  </w:style>
  <w:style w:type="paragraph" w:customStyle="1" w:styleId="10">
    <w:name w:val="Default"/>
    <w:qFormat/>
    <w:uiPriority w:val="0"/>
    <w:pPr>
      <w:autoSpaceDE w:val="0"/>
      <w:autoSpaceDN w:val="0"/>
      <w:adjustRightInd w:val="0"/>
    </w:pPr>
    <w:rPr>
      <w:rFonts w:ascii="Arial" w:hAnsi="Arial" w:cs="Arial"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19</Characters>
  <Lines>1</Lines>
  <Paragraphs>1</Paragraphs>
  <TotalTime>0</TotalTime>
  <ScaleCrop>false</ScaleCrop>
  <LinksUpToDate>false</LinksUpToDate>
  <CharactersWithSpaces>21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2022-02-09T07:06:00Z</cp:lastPrinted>
  <dcterms:modified xsi:type="dcterms:W3CDTF">2022-02-10T01:57:12Z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D568872BA5EE4C70898F05F70111712F</vt:lpwstr>
  </property>
  <property fmtid="{D5CDD505-2E9C-101B-9397-08002B2CF9AE}" pid="3" name="KSOProductBuildVer">
    <vt:lpwstr>2052-10.8.0.6423</vt:lpwstr>
  </property>
</Properties>
</file>